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numbering.xml" ContentType="application/vnd.openxmlformats-officedocument.wordprocessingml.numbering+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settings.xml" ContentType="application/vnd.openxmlformats-officedocument.wordprocessingml.settings+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footer3.xml" ContentType="application/vnd.openxmlformats-officedocument.wordprocessingml.footer+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before="0" w:after="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Style25"/>
        <w:widowControl/>
        <w:bidi w:val="0"/>
        <w:spacing w:lineRule="atLeast" w:line="240" w:before="0" w:after="0"/>
        <w:ind w:left="5669" w:right="0" w:hanging="0"/>
        <w:contextualSpacing/>
        <w:jc w:val="right"/>
        <w:rPr/>
      </w:pPr>
      <w:r>
        <w:rPr>
          <w:rStyle w:val="FontStyle12"/>
          <w:sz w:val="28"/>
          <w:szCs w:val="28"/>
        </w:rPr>
        <w:t>Приложение 2</w:t>
      </w:r>
    </w:p>
    <w:p>
      <w:pPr>
        <w:pStyle w:val="Style25"/>
        <w:widowControl/>
        <w:spacing w:lineRule="atLeast" w:line="240" w:before="0" w:after="0"/>
        <w:ind w:left="5670" w:hanging="0"/>
        <w:contextualSpacing/>
        <w:jc w:val="right"/>
        <w:rPr>
          <w:rStyle w:val="FontStyle12"/>
          <w:b/>
          <w:b/>
          <w:sz w:val="28"/>
          <w:szCs w:val="28"/>
        </w:rPr>
      </w:pPr>
      <w:r>
        <w:rPr>
          <w:rStyle w:val="FontStyle12"/>
          <w:sz w:val="28"/>
          <w:szCs w:val="28"/>
        </w:rPr>
        <w:t>к информационному сообщению</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8"/>
          <w:szCs w:val="28"/>
        </w:rPr>
        <w:t>Договор</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8"/>
          <w:szCs w:val="28"/>
        </w:rPr>
        <w:t>купли-продажи высвобождаемого движимого</w:t>
      </w:r>
    </w:p>
    <w:p>
      <w:pPr>
        <w:pStyle w:val="Normal"/>
        <w:spacing w:lineRule="auto" w:line="240" w:before="0" w:after="0"/>
        <w:jc w:val="center"/>
        <w:rPr>
          <w:rFonts w:ascii="Times New Roman" w:hAnsi="Times New Roman" w:cs="Times New Roman"/>
          <w:b/>
          <w:b/>
          <w:sz w:val="24"/>
          <w:szCs w:val="24"/>
        </w:rPr>
      </w:pPr>
      <w:r>
        <w:rPr>
          <w:rFonts w:cs="Times New Roman" w:ascii="Times New Roman" w:hAnsi="Times New Roman"/>
          <w:b/>
          <w:sz w:val="28"/>
          <w:szCs w:val="28"/>
        </w:rPr>
        <w:t>военного имущества № _____________________</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jc w:val="center"/>
        <w:rPr>
          <w:sz w:val="28"/>
          <w:szCs w:val="28"/>
        </w:rPr>
      </w:pPr>
      <w:r>
        <w:rPr>
          <w:rFonts w:cs="Times New Roman" w:ascii="Times New Roman" w:hAnsi="Times New Roman"/>
          <w:b/>
          <w:sz w:val="28"/>
          <w:szCs w:val="28"/>
        </w:rPr>
        <w:t>г. Санкт-Петербург                                                  «__» ___________ 20__ г.</w:t>
      </w:r>
    </w:p>
    <w:p>
      <w:pPr>
        <w:pStyle w:val="Normal"/>
        <w:spacing w:lineRule="auto" w:line="240" w:before="0" w:after="0"/>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lineRule="auto" w:line="240" w:before="0" w:after="0"/>
        <w:ind w:firstLine="709"/>
        <w:jc w:val="both"/>
        <w:rPr>
          <w:sz w:val="28"/>
          <w:szCs w:val="28"/>
        </w:rPr>
      </w:pPr>
      <w:r>
        <w:rPr>
          <w:rFonts w:eastAsia="Times New Roman" w:cs="Times New Roman" w:ascii="Times New Roman" w:hAnsi="Times New Roman"/>
          <w:color w:val="000000"/>
          <w:sz w:val="28"/>
          <w:szCs w:val="28"/>
          <w:lang w:eastAsia="ru-RU"/>
        </w:rPr>
        <w:t>Федеральное казенное учреждение «Северо-Западный центр материально-технического обеспечения Федеральной службы войск национальной гвардии Российской Федерации» (ФКУ «СЗЦМТО Росгвардии»), выступающее от имени Российской Федерации, в лице _________________________, действующего на основании __________, распоряжения заместителя директора Федеральной службы войск национальной гвардии Российской Федерации-главнокомандующего войсками национальной гвардии Российской Федерации от 27.11.2019 № 1/838-Р</w:t>
      </w:r>
      <w:r>
        <w:rPr>
          <w:rFonts w:eastAsia="Times New Roman" w:cs="Times New Roman" w:ascii="Times New Roman" w:hAnsi="Times New Roman"/>
          <w:sz w:val="28"/>
          <w:szCs w:val="28"/>
          <w:lang w:eastAsia="ru-RU"/>
        </w:rPr>
        <w:t xml:space="preserve"> </w:t>
      </w:r>
      <w:r>
        <w:rPr>
          <w:rFonts w:eastAsia="Times New Roman" w:cs="Times New Roman" w:ascii="Times New Roman" w:hAnsi="Times New Roman"/>
          <w:color w:val="000000"/>
          <w:sz w:val="28"/>
          <w:szCs w:val="28"/>
          <w:lang w:eastAsia="ru-RU"/>
        </w:rPr>
        <w:t>и договора поручения на реализацию (продажу) высвобождаемого движимого военного имущества от «___» _________ 201__ г. № ______, именуемое в дальнейшем «Продавец» с одной стороны, и __________________________, именуемый в дальнейшем «Покупатель», в лице _____________________________________________, действующего на основании 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№178-ФЗ «О приватизации государственного и муниципального имущества», Указом Президента Российской Федерации от «23» июля 1997 г. №775 «Об изменении порядка реализации высвобождаемого военного имущества, акционирования и приватизации предприятий военной торговли», постановлением Правительства Российской Федерации от «15» октября 1999 г. №1165 «О реализации высвобождаемого движимого военного имущества», Приказом Федеральной службы войск национальной гвардии Российской Федерации от «16» ноября 2017 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 основании Протокола об итогах аукциона от «___»_________ 201___ г. №_____, утвержденного Продавцом «___» _________ 201__ г., согласно которому Покупатель признан Победителем торгов, заключили настоящий Договор о нижеследующем:</w:t>
      </w:r>
    </w:p>
    <w:p>
      <w:pPr>
        <w:pStyle w:val="Normal"/>
        <w:spacing w:lineRule="auto" w:line="240" w:before="0" w:after="0"/>
        <w:ind w:firstLine="709"/>
        <w:jc w:val="both"/>
        <w:rPr>
          <w:rFonts w:ascii="Times New Roman" w:hAnsi="Times New Roman" w:eastAsia="Times New Roman" w:cs="Times New Roman"/>
          <w:color w:val="000000"/>
          <w:sz w:val="28"/>
          <w:szCs w:val="28"/>
          <w:lang w:eastAsia="ru-RU"/>
        </w:rPr>
      </w:pPr>
      <w:r>
        <w:rPr>
          <w:rFonts w:eastAsia="Times New Roman" w:cs="Times New Roman" w:ascii="Times New Roman" w:hAnsi="Times New Roman"/>
          <w:color w:val="000000"/>
          <w:sz w:val="28"/>
          <w:szCs w:val="28"/>
          <w:lang w:eastAsia="ru-RU"/>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8"/>
          <w:szCs w:val="28"/>
        </w:rPr>
        <w:t>Предмет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 </w:t>
      </w:r>
      <w:r>
        <w:rPr>
          <w:rFonts w:cs="Times New Roman" w:ascii="Times New Roman" w:hAnsi="Times New Roman"/>
          <w:sz w:val="28"/>
          <w:szCs w:val="28"/>
        </w:rPr>
        <w:t xml:space="preserve">Продавец передает в собственность Покупателя на условиях, изложенных в настоящем Договоре, высвобождаемое движимое военное имущество (далее – Имущество), указанное в Приложении №1 к настоящему Договору, являющимся его неотъемлемой частью.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Продавец гарантирует, что Имущество не обременено залоговыми обязательствами и под арестом не состоит.</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Покупатель ознакомлен с физическим состоянием предлагаемого Имущества и не имеет связанных с ним претензий на момент подписания Договора.</w:t>
      </w:r>
    </w:p>
    <w:p>
      <w:pPr>
        <w:pStyle w:val="ListParagraph"/>
        <w:tabs>
          <w:tab w:val="left" w:pos="1276" w:leader="none"/>
        </w:tabs>
        <w:spacing w:lineRule="auto" w:line="240" w:before="0" w:after="0"/>
        <w:ind w:left="709" w:hanging="0"/>
        <w:contextualSpacing/>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8"/>
          <w:szCs w:val="28"/>
        </w:rPr>
        <w:t>Цена Договора и порядок расчетов</w:t>
      </w:r>
    </w:p>
    <w:p>
      <w:pPr>
        <w:pStyle w:val="ListParagraph"/>
        <w:numPr>
          <w:ilvl w:val="1"/>
          <w:numId w:val="1"/>
        </w:numPr>
        <w:tabs>
          <w:tab w:val="left" w:pos="1276" w:leader="none"/>
        </w:tabs>
        <w:spacing w:lineRule="auto" w:line="240" w:before="0" w:after="0"/>
        <w:ind w:left="0" w:firstLine="709"/>
        <w:contextualSpacing/>
        <w:jc w:val="both"/>
        <w:rPr/>
      </w:pPr>
      <w:r>
        <w:rPr>
          <w:rFonts w:cs="Times New Roman" w:ascii="Times New Roman" w:hAnsi="Times New Roman"/>
          <w:sz w:val="28"/>
          <w:szCs w:val="28"/>
        </w:rPr>
        <w:t>Итоговая цена продажи Имущества определена по итогам продажи имущества и составляет ______________ (_______________ ) рублей ___ копеек (без учета НДС). Сумма НДС составляет ___ (_____________) рублей ___ копеек. Покупатель – налоговый агент обязан исчислить расчетным методом, удержать из выплачиваемых доходов и уплатить в бюджет сумму налога на добавленную стоимость согласно абз. 2 п. 3 ст. 161 Налогового кодекса Российской Федерации. (Покупатель – физическое лицо, сумму налога на добавленную стоимость перечисляет на реквизиты, указанные в Счете, выставленном Продавцом, для дальнейшего перечисления налога в доход Федерального бюджета одновременно с суммой, указанной в п. 2.3. Договора).</w:t>
      </w:r>
    </w:p>
    <w:p>
      <w:pPr>
        <w:pStyle w:val="ListParagraph"/>
        <w:numPr>
          <w:ilvl w:val="1"/>
          <w:numId w:val="1"/>
        </w:numPr>
        <w:tabs>
          <w:tab w:val="left" w:pos="1276" w:leader="none"/>
        </w:tabs>
        <w:spacing w:lineRule="auto" w:line="240" w:before="0" w:after="0"/>
        <w:ind w:left="0" w:firstLine="709"/>
        <w:contextualSpacing/>
        <w:jc w:val="both"/>
        <w:rPr/>
      </w:pPr>
      <w:r>
        <w:rPr>
          <w:rFonts w:cs="Times New Roman" w:ascii="Times New Roman" w:hAnsi="Times New Roman"/>
          <w:sz w:val="28"/>
          <w:szCs w:val="28"/>
        </w:rPr>
        <w:t xml:space="preserve">Задаток в размере 20 % начальной цены продажи Имущества в сумме 5 484 (пять тысяч четыреста восемьдесят четыре) рубля 40 копеек, внесены Покупателем на счет Продавца в соответствии с информационным сообщением об объявлении аукциона от «__»_________ 201__ г., засчитывается в счет оплаты Имущества. </w:t>
      </w:r>
    </w:p>
    <w:p>
      <w:pPr>
        <w:pStyle w:val="ListParagraph"/>
        <w:numPr>
          <w:ilvl w:val="1"/>
          <w:numId w:val="1"/>
        </w:numPr>
        <w:tabs>
          <w:tab w:val="left" w:pos="1276" w:leader="none"/>
        </w:tabs>
        <w:spacing w:lineRule="auto" w:line="240" w:before="0" w:after="0"/>
        <w:ind w:left="0" w:firstLine="709"/>
        <w:contextualSpacing/>
        <w:jc w:val="both"/>
        <w:rPr>
          <w:sz w:val="28"/>
          <w:szCs w:val="28"/>
        </w:rPr>
      </w:pPr>
      <w:r>
        <w:rPr>
          <w:rFonts w:cs="Times New Roman" w:ascii="Times New Roman" w:hAnsi="Times New Roman"/>
          <w:sz w:val="28"/>
          <w:szCs w:val="28"/>
        </w:rPr>
        <w:t xml:space="preserve">С учетом п. 2.2. настоящего Договора Покупатель обязан уплатить за Имущество сумму в размере _________ (___________) рублей ___ копеек, представляющую собой сумму цены Договора за вычетом суммы задатка, которая должна быть внесена Покупателем на счет Продавца  предоплатой, по реквизитам, указанным в Приложении № 2 к настоящему Договору, по оформленному Продавцом счету, в течение 15 (пятнадцати) рабочих дней с даты заключения настоящего Договора путем единовременного перечисления денежных средств.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О перечислении денежных средств Покупатель обязуется известить Продавца в день осуществления платежа.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Моментом надлежащего исполнения обязанностей Покупателя по оплате Имущества является дата поступления денежных средств на счет Продавца в сумме и в срок, указанные в п. 2.3. настоящего Договора.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Срок выполнения Покупателем обязательства по оплате Имущества является существенным условием исполнения настоящего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В течение 15 (пятнадцати) рабочих дней после подписания </w:t>
      </w:r>
      <w:r>
        <w:rPr>
          <w:rStyle w:val="4"/>
          <w:rFonts w:eastAsia="Calibri" w:eastAsiaTheme="minorHAnsi"/>
          <w:sz w:val="28"/>
          <w:szCs w:val="28"/>
        </w:rPr>
        <w:t>накладной на отпуск материалов (материальных ценностей) на сторону (код по ОКУД 0504205)</w:t>
      </w:r>
      <w:r>
        <w:rPr>
          <w:rFonts w:cs="Times New Roman" w:ascii="Times New Roman" w:hAnsi="Times New Roman"/>
          <w:sz w:val="28"/>
          <w:szCs w:val="28"/>
        </w:rPr>
        <w:t xml:space="preserve">, или в случае предусмотренном п. 5.5. настоящего Договора, Продавец перечисляет задаток указанный в п. 2.2. в доход Федерального бюджета. </w:t>
      </w:r>
    </w:p>
    <w:p>
      <w:pPr>
        <w:pStyle w:val="Normal"/>
        <w:tabs>
          <w:tab w:val="left" w:pos="1276" w:leader="none"/>
        </w:tabs>
        <w:spacing w:lineRule="auto" w:line="240" w:before="0" w:after="0"/>
        <w:jc w:val="both"/>
        <w:rPr>
          <w:rFonts w:ascii="Times New Roman" w:hAnsi="Times New Roman" w:cs="Times New Roman"/>
          <w:sz w:val="28"/>
          <w:szCs w:val="28"/>
        </w:rPr>
      </w:pPr>
      <w:r>
        <w:rPr>
          <w:rFonts w:cs="Times New Roman" w:ascii="Times New Roman" w:hAnsi="Times New Roman"/>
          <w:sz w:val="28"/>
          <w:szCs w:val="28"/>
        </w:rPr>
      </w:r>
    </w:p>
    <w:p>
      <w:pPr>
        <w:pStyle w:val="ListParagraph"/>
        <w:numPr>
          <w:ilvl w:val="0"/>
          <w:numId w:val="1"/>
        </w:numPr>
        <w:tabs>
          <w:tab w:val="left" w:pos="284"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8"/>
          <w:szCs w:val="28"/>
        </w:rPr>
        <w:t>Права и обязанности Сторон</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b/>
          <w:sz w:val="28"/>
          <w:szCs w:val="28"/>
        </w:rPr>
        <w:t xml:space="preserve"> </w:t>
      </w:r>
      <w:r>
        <w:rPr>
          <w:rFonts w:cs="Times New Roman" w:ascii="Times New Roman" w:hAnsi="Times New Roman"/>
          <w:sz w:val="28"/>
          <w:szCs w:val="28"/>
        </w:rPr>
        <w:t xml:space="preserve">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 </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Продавец обязан выдать счет-наряд на получение Имущества, в срок не позднее 10 (десяти) рабочих дней после поступления денежных средств на расчетный счет Продавца в сумме, предусмотренной разделом 2 настоящего Договора.</w:t>
      </w:r>
    </w:p>
    <w:p>
      <w:pPr>
        <w:pStyle w:val="ListParagraph"/>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Покупатель обязан: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 оплатить имущество в порядке и сроки, предусмотренные разделом 2 настоящего Договора;      </w:t>
      </w:r>
    </w:p>
    <w:p>
      <w:pPr>
        <w:pStyle w:val="ListParagraph"/>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получить распорядительные документы в срок не позднее 10 (десяти) рабочих дней после поступления денежных средств на расчетный счет Продавца;</w:t>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 xml:space="preserve">- </w:t>
      </w:r>
      <w:r>
        <w:rPr>
          <w:rStyle w:val="4"/>
          <w:rFonts w:eastAsia="Calibri" w:eastAsiaTheme="minorHAnsi"/>
          <w:sz w:val="28"/>
          <w:szCs w:val="28"/>
        </w:rPr>
        <w:t>письменно или по электронной почте уведомить Балансодержателя (собственника) за 15 суток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с указанием государственных регистрационных знаков, марок и моделей транспортных средств, проезд которых планируется на территорию балансодержателя для вывоза Имущества.</w:t>
      </w:r>
      <w:r>
        <w:rPr>
          <w:rFonts w:cs="Times New Roman" w:ascii="Times New Roman" w:hAnsi="Times New Roman"/>
          <w:sz w:val="28"/>
          <w:szCs w:val="28"/>
        </w:rPr>
        <w:t xml:space="preserve"> </w:t>
      </w:r>
    </w:p>
    <w:p>
      <w:pPr>
        <w:pStyle w:val="ListParagraph"/>
        <w:tabs>
          <w:tab w:val="left" w:pos="993"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 принять и самостоятельно вывезти своими силами и (или) за свой счет Имущество в полном объеме из адреса местоположения Имущества.</w:t>
      </w:r>
    </w:p>
    <w:p>
      <w:pPr>
        <w:pStyle w:val="Normal"/>
        <w:widowControl w:val="false"/>
        <w:tabs>
          <w:tab w:val="left" w:pos="1191" w:leader="none"/>
        </w:tabs>
        <w:spacing w:lineRule="exact" w:line="274" w:before="0" w:after="0"/>
        <w:ind w:firstLine="709"/>
        <w:jc w:val="both"/>
        <w:rPr/>
      </w:pPr>
      <w:r>
        <w:rPr>
          <w:rStyle w:val="4"/>
          <w:rFonts w:eastAsia="Calibri" w:eastAsiaTheme="minorHAnsi"/>
          <w:sz w:val="28"/>
          <w:szCs w:val="28"/>
        </w:rPr>
        <w:t>3.5. Срок, в течение которого Покупатель обязан принять и вывезти Имущество, является существенным условием исполнения Договора и составляет 30 (тридцать) суток, с момента поступления денежных средств за товар в полном объеме на счет Продавца.</w:t>
      </w:r>
    </w:p>
    <w:p>
      <w:pPr>
        <w:pStyle w:val="Normal"/>
        <w:spacing w:lineRule="auto" w:line="240" w:before="0" w:after="0"/>
        <w:ind w:firstLine="709"/>
        <w:jc w:val="both"/>
        <w:rPr>
          <w:rStyle w:val="4"/>
          <w:rFonts w:eastAsia="Calibri" w:eastAsiaTheme="minorHAnsi"/>
        </w:rPr>
      </w:pPr>
      <w:r>
        <w:rPr>
          <w:rStyle w:val="4"/>
          <w:rFonts w:eastAsia="Calibri" w:eastAsiaTheme="minorHAnsi"/>
          <w:sz w:val="28"/>
          <w:szCs w:val="28"/>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суток.</w:t>
      </w:r>
    </w:p>
    <w:p>
      <w:pPr>
        <w:pStyle w:val="Normal"/>
        <w:spacing w:lineRule="auto" w:line="240" w:before="0" w:after="0"/>
        <w:ind w:firstLine="709"/>
        <w:jc w:val="both"/>
        <w:rPr>
          <w:rStyle w:val="4"/>
          <w:sz w:val="28"/>
          <w:szCs w:val="28"/>
        </w:rPr>
      </w:pPr>
      <w:r>
        <w:rPr>
          <w:sz w:val="28"/>
          <w:szCs w:val="28"/>
        </w:rPr>
      </w:r>
    </w:p>
    <w:p>
      <w:pPr>
        <w:pStyle w:val="ListParagraph"/>
        <w:numPr>
          <w:ilvl w:val="0"/>
          <w:numId w:val="1"/>
        </w:numPr>
        <w:tabs>
          <w:tab w:val="left" w:pos="426"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sz w:val="28"/>
          <w:szCs w:val="28"/>
        </w:rPr>
        <w:t>Передача и переход права собственности на Имущество</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sz w:val="28"/>
          <w:szCs w:val="28"/>
        </w:rPr>
        <w:t>Передача Имущества, указанного в Приложении № 1, Покупателю осуществляется на территории Балансодержателя по адресу указанному в Приложении№ 1 к настоящему Договору по накладной на отпуск материалов (материальных ценностей) на сторону (код по ОКУД 0504205).</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sz w:val="28"/>
          <w:szCs w:val="28"/>
        </w:rPr>
        <w:t>Имущество передается Балансодержателем при предъявлении Покупателем договора купли-продажи,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от представленного в настоящем Договоре).</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sz w:val="28"/>
          <w:szCs w:val="28"/>
        </w:rPr>
        <w:t>Обязанность Покупателя принять Имущество, а Продавца передать Имущество, считается исполненной после подписания Сторонами 3-х экземпляров счет-наряда на получение Имущества (1-й экз. – Продавцу, 2-й экз. – Покупателю, 3-й экз. – Балансодержателю) и накладной на отпуск материалов (материальных ценностей) на сторону (код по ОКУД 0504205).</w:t>
      </w:r>
    </w:p>
    <w:p>
      <w:pPr>
        <w:pStyle w:val="Normal"/>
        <w:widowControl w:val="false"/>
        <w:numPr>
          <w:ilvl w:val="1"/>
          <w:numId w:val="1"/>
        </w:numPr>
        <w:tabs>
          <w:tab w:val="left" w:pos="1134"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sz w:val="28"/>
          <w:szCs w:val="28"/>
        </w:rPr>
        <w:t xml:space="preserve"> </w:t>
      </w:r>
      <w:r>
        <w:rPr>
          <w:rStyle w:val="4"/>
          <w:rFonts w:eastAsia="Calibri" w:eastAsiaTheme="minorHAnsi"/>
          <w:sz w:val="28"/>
          <w:szCs w:val="28"/>
        </w:rPr>
        <w:t>Право собственности,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п.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pPr>
        <w:pStyle w:val="Normal"/>
        <w:widowControl w:val="false"/>
        <w:tabs>
          <w:tab w:val="left" w:pos="1134" w:leader="none"/>
        </w:tabs>
        <w:spacing w:lineRule="auto" w:line="240" w:before="0" w:after="0"/>
        <w:ind w:left="709" w:hanging="0"/>
        <w:jc w:val="both"/>
        <w:rPr>
          <w:rStyle w:val="4"/>
          <w:sz w:val="28"/>
          <w:szCs w:val="28"/>
        </w:rPr>
      </w:pPr>
      <w:r>
        <w:rPr>
          <w:sz w:val="28"/>
          <w:szCs w:val="28"/>
        </w:rPr>
      </w:r>
    </w:p>
    <w:p>
      <w:pPr>
        <w:pStyle w:val="ListParagraph"/>
        <w:numPr>
          <w:ilvl w:val="0"/>
          <w:numId w:val="1"/>
        </w:numPr>
        <w:tabs>
          <w:tab w:val="left" w:pos="426"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sz w:val="28"/>
          <w:szCs w:val="28"/>
        </w:rPr>
        <w:t>Ответственность Сторон</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sz w:val="28"/>
          <w:szCs w:val="28"/>
        </w:rPr>
        <w:t>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Style w:val="4"/>
          <w:rFonts w:eastAsia="Calibri" w:eastAsiaTheme="minorHAnsi"/>
          <w:sz w:val="28"/>
          <w:szCs w:val="28"/>
        </w:rPr>
        <w:t xml:space="preserve">За нарушение срока оплаты Имущества, установленного в п. 2.3. настоящего Договора, Покупатель уплачивает Продавцу пени в размере 0,1 % от неоплаченной суммы за каждый день просрочки. </w:t>
      </w:r>
    </w:p>
    <w:p>
      <w:pPr>
        <w:pStyle w:val="ListParagraph"/>
        <w:widowControl w:val="false"/>
        <w:tabs>
          <w:tab w:val="left" w:pos="1134"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Уплата пени не освобождает Покупателя от оплаты суммы, указанной в п. 2.3. настоящего Договора.</w:t>
      </w:r>
    </w:p>
    <w:p>
      <w:pPr>
        <w:pStyle w:val="ListParagraph"/>
        <w:widowControl w:val="false"/>
        <w:numPr>
          <w:ilvl w:val="1"/>
          <w:numId w:val="1"/>
        </w:numPr>
        <w:tabs>
          <w:tab w:val="left" w:pos="1134" w:leader="none"/>
        </w:tabs>
        <w:spacing w:lineRule="auto" w:line="240" w:before="0" w:after="0"/>
        <w:ind w:left="0" w:firstLine="709"/>
        <w:contextualSpacing/>
        <w:jc w:val="both"/>
        <w:rPr>
          <w:rStyle w:val="4"/>
          <w:rFonts w:eastAsia="Calibri" w:eastAsiaTheme="minorHAnsi"/>
          <w:color w:val="auto"/>
          <w:sz w:val="22"/>
          <w:szCs w:val="22"/>
          <w:lang w:eastAsia="en-US" w:bidi="ar-SA"/>
        </w:rPr>
      </w:pPr>
      <w:r>
        <w:rPr>
          <w:rStyle w:val="4"/>
          <w:rFonts w:eastAsia="Calibri" w:eastAsiaTheme="minorHAnsi"/>
          <w:sz w:val="28"/>
          <w:szCs w:val="28"/>
        </w:rPr>
        <w:t xml:space="preserve"> </w:t>
      </w:r>
      <w:r>
        <w:rPr>
          <w:rStyle w:val="4"/>
          <w:rFonts w:eastAsia="Calibri" w:eastAsiaTheme="minorHAnsi"/>
          <w:sz w:val="28"/>
          <w:szCs w:val="28"/>
        </w:rPr>
        <w:t>В случае, если Покупатель не оплатит приобретенное им Имущество по Договору в сумме и в срок, указанные в п. 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Уведомления).</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sz w:val="28"/>
          <w:szCs w:val="28"/>
        </w:rPr>
        <w:t>Настоящий Договор считается расторгнутым по основанию, предусмотренному п. 5.3 настоящего Договора, с даты отправления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pPr>
        <w:pStyle w:val="Normal"/>
        <w:widowControl w:val="false"/>
        <w:numPr>
          <w:ilvl w:val="1"/>
          <w:numId w:val="1"/>
        </w:numPr>
        <w:tabs>
          <w:tab w:val="left" w:pos="1134" w:leader="none"/>
        </w:tabs>
        <w:spacing w:lineRule="exact" w:line="264" w:before="0" w:after="0"/>
        <w:ind w:left="0" w:firstLine="709"/>
        <w:jc w:val="both"/>
        <w:rPr/>
      </w:pPr>
      <w:r>
        <w:rPr>
          <w:rStyle w:val="4"/>
          <w:rFonts w:eastAsia="Calibri" w:eastAsiaTheme="minorHAnsi"/>
          <w:sz w:val="28"/>
          <w:szCs w:val="28"/>
        </w:rPr>
        <w:t>При расторжении настоящего Договора по вине Покупателя по основанию, предусмотренному п. 5.3., задаток последнему не возвращается.</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sz w:val="28"/>
          <w:szCs w:val="28"/>
        </w:rPr>
        <w:t>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pPr>
        <w:pStyle w:val="Normal"/>
        <w:widowControl w:val="false"/>
        <w:numPr>
          <w:ilvl w:val="1"/>
          <w:numId w:val="1"/>
        </w:numPr>
        <w:tabs>
          <w:tab w:val="left" w:pos="1134" w:leader="none"/>
        </w:tabs>
        <w:spacing w:lineRule="exact" w:line="269" w:before="0" w:after="0"/>
        <w:ind w:left="0" w:firstLine="709"/>
        <w:jc w:val="both"/>
        <w:rPr/>
      </w:pPr>
      <w:r>
        <w:rPr>
          <w:rStyle w:val="4"/>
          <w:rFonts w:eastAsia="Calibri" w:eastAsiaTheme="minorHAnsi"/>
          <w:sz w:val="28"/>
          <w:szCs w:val="28"/>
        </w:rPr>
        <w:t>В случае просрочки исполнения Покупателем обязательства, предусмотренного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за днем истечения установленного Договором срока исполнения указанного обязательства. Размер такой неустойки (пени) устанавливается Договором в размере 1/300 ключевой ставки Банка России от итоговой цены продажи Имущества, указанной в п. 2.1. Договора, за каждый день просрочки.</w:t>
      </w:r>
    </w:p>
    <w:p>
      <w:pPr>
        <w:pStyle w:val="ListParagraph"/>
        <w:widowControl w:val="false"/>
        <w:numPr>
          <w:ilvl w:val="1"/>
          <w:numId w:val="1"/>
        </w:numPr>
        <w:tabs>
          <w:tab w:val="left" w:pos="1134" w:leader="none"/>
        </w:tabs>
        <w:spacing w:lineRule="auto" w:line="240" w:before="0" w:after="0"/>
        <w:ind w:left="0" w:firstLine="709"/>
        <w:contextualSpacing/>
        <w:jc w:val="both"/>
        <w:rPr/>
      </w:pPr>
      <w:r>
        <w:rPr>
          <w:rStyle w:val="4"/>
          <w:rFonts w:eastAsia="Calibri" w:eastAsiaTheme="minorHAnsi"/>
          <w:sz w:val="28"/>
          <w:szCs w:val="28"/>
        </w:rPr>
        <w:t xml:space="preserve">В случае нарушения Покупателем срока вывоза Имущества, предусмотренного п. 3.5.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 </w:t>
      </w:r>
    </w:p>
    <w:p>
      <w:pPr>
        <w:pStyle w:val="ListParagraph"/>
        <w:widowControl w:val="false"/>
        <w:tabs>
          <w:tab w:val="left" w:pos="1134"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Расторжение Договора производится Продавцом аналогично порядку, предусмотренному в п. 5.4. Договора.</w:t>
      </w:r>
    </w:p>
    <w:p>
      <w:pPr>
        <w:pStyle w:val="ListParagraph"/>
        <w:widowControl w:val="false"/>
        <w:numPr>
          <w:ilvl w:val="1"/>
          <w:numId w:val="1"/>
        </w:numPr>
        <w:tabs>
          <w:tab w:val="left" w:pos="1134" w:leader="none"/>
        </w:tabs>
        <w:spacing w:lineRule="auto" w:line="240" w:before="0" w:after="0"/>
        <w:ind w:left="0" w:firstLine="709"/>
        <w:contextualSpacing/>
        <w:jc w:val="both"/>
        <w:rPr/>
      </w:pPr>
      <w:r>
        <w:rPr>
          <w:rFonts w:cs="Times New Roman" w:ascii="Times New Roman" w:hAnsi="Times New Roman"/>
          <w:sz w:val="28"/>
          <w:szCs w:val="28"/>
        </w:rPr>
        <w:t xml:space="preserve"> </w:t>
      </w:r>
      <w:r>
        <w:rPr>
          <w:rStyle w:val="4"/>
          <w:rFonts w:eastAsia="Calibri" w:eastAsiaTheme="minorHAnsi"/>
          <w:sz w:val="28"/>
          <w:szCs w:val="28"/>
        </w:rPr>
        <w:t>В случае нарушения Покупателем срока, предусмотренного абзацем 3 п. 3.5. Договора, Продавец вправе потребовать уплаты штрафа в размере 5 % цены Договора, что составляет ________ (_______) рублей ___ копеек, а также неустойки в размере 0,05% цены Договора что составляет ________ (_______) рублей ___ копеек за каждый день просрочки, но не более суммы Договора.</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rPr>
      </w:pPr>
      <w:r>
        <w:rPr>
          <w:rStyle w:val="4"/>
          <w:rFonts w:eastAsia="Calibri" w:eastAsiaTheme="minorHAnsi"/>
          <w:sz w:val="28"/>
          <w:szCs w:val="28"/>
        </w:rPr>
        <w:t>В случае нарушения Покупателем срока получения распорядительных документов, предусмотренного абзацем 3 п. 3.4. Договора, более чем на 10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pPr>
        <w:pStyle w:val="Normal"/>
        <w:widowControl w:val="false"/>
        <w:tabs>
          <w:tab w:val="left" w:pos="1134" w:leader="none"/>
        </w:tabs>
        <w:spacing w:lineRule="auto" w:line="240" w:before="0" w:after="0"/>
        <w:ind w:firstLine="709"/>
        <w:jc w:val="both"/>
        <w:rPr>
          <w:sz w:val="28"/>
          <w:szCs w:val="28"/>
        </w:rPr>
      </w:pPr>
      <w:r>
        <w:rPr>
          <w:sz w:val="28"/>
          <w:szCs w:val="28"/>
        </w:rPr>
      </w:r>
    </w:p>
    <w:p>
      <w:pPr>
        <w:pStyle w:val="ListParagraph"/>
        <w:numPr>
          <w:ilvl w:val="0"/>
          <w:numId w:val="1"/>
        </w:numPr>
        <w:tabs>
          <w:tab w:val="left" w:pos="284"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sz w:val="28"/>
          <w:szCs w:val="28"/>
        </w:rPr>
        <w:t>Обстоятельства непреодолимой силы</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 xml:space="preserve"> </w:t>
      </w:r>
      <w:r>
        <w:rPr>
          <w:rStyle w:val="4"/>
          <w:rFonts w:eastAsia="Calibri" w:eastAsiaTheme="minorHAnsi"/>
          <w:sz w:val="28"/>
          <w:szCs w:val="28"/>
        </w:rPr>
        <w:t>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pPr>
        <w:pStyle w:val="Normal"/>
        <w:widowControl w:val="false"/>
        <w:numPr>
          <w:ilvl w:val="1"/>
          <w:numId w:val="1"/>
        </w:numPr>
        <w:tabs>
          <w:tab w:val="left" w:pos="1276" w:leader="none"/>
        </w:tabs>
        <w:spacing w:lineRule="auto" w:line="240" w:before="0" w:after="0"/>
        <w:ind w:left="0" w:firstLine="709"/>
        <w:jc w:val="both"/>
        <w:rPr/>
      </w:pPr>
      <w:r>
        <w:rPr>
          <w:rStyle w:val="4"/>
          <w:rFonts w:eastAsia="Calibri" w:eastAsiaTheme="minorHAnsi"/>
          <w:sz w:val="28"/>
          <w:szCs w:val="28"/>
        </w:rPr>
        <w:t xml:space="preserve"> </w:t>
      </w:r>
      <w:r>
        <w:rPr>
          <w:rStyle w:val="4"/>
          <w:rFonts w:eastAsia="Calibri" w:eastAsiaTheme="minorHAnsi"/>
          <w:sz w:val="28"/>
          <w:szCs w:val="28"/>
        </w:rPr>
        <w:t>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pPr>
        <w:pStyle w:val="ListParagraph"/>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pPr>
        <w:pStyle w:val="Normal"/>
        <w:widowControl w:val="false"/>
        <w:numPr>
          <w:ilvl w:val="1"/>
          <w:numId w:val="1"/>
        </w:numPr>
        <w:tabs>
          <w:tab w:val="left" w:pos="1276" w:leader="none"/>
        </w:tabs>
        <w:spacing w:lineRule="auto" w:line="240" w:before="0" w:after="0"/>
        <w:ind w:left="0" w:firstLine="709"/>
        <w:jc w:val="both"/>
        <w:rPr/>
      </w:pPr>
      <w:r>
        <w:rPr>
          <w:rStyle w:val="4"/>
          <w:rFonts w:eastAsia="Calibri" w:eastAsiaTheme="minorHAnsi"/>
          <w:sz w:val="28"/>
          <w:szCs w:val="28"/>
        </w:rPr>
        <w:t>Если одна из Сторон не направит или несвоевременно направит документы, указанные в п.п.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pPr>
        <w:pStyle w:val="Normal"/>
        <w:widowControl w:val="false"/>
        <w:numPr>
          <w:ilvl w:val="1"/>
          <w:numId w:val="1"/>
        </w:numPr>
        <w:tabs>
          <w:tab w:val="left" w:pos="1276" w:leader="none"/>
        </w:tabs>
        <w:spacing w:lineRule="auto" w:line="240" w:before="0" w:after="0"/>
        <w:ind w:left="0" w:firstLine="709"/>
        <w:jc w:val="both"/>
        <w:rPr>
          <w:rStyle w:val="4"/>
          <w:rFonts w:ascii="Calibri" w:hAnsi="Calibri" w:eastAsia="Calibri" w:cs="" w:asciiTheme="minorHAnsi" w:cstheme="minorBidi" w:eastAsiaTheme="minorHAnsi" w:hAnsiTheme="minorHAnsi"/>
          <w:color w:val="auto"/>
          <w:sz w:val="22"/>
          <w:szCs w:val="22"/>
          <w:lang w:eastAsia="en-US" w:bidi="ar-SA"/>
        </w:rPr>
      </w:pPr>
      <w:r>
        <w:rPr>
          <w:rStyle w:val="4"/>
          <w:rFonts w:eastAsia="Calibri" w:eastAsiaTheme="minorHAnsi"/>
          <w:sz w:val="28"/>
          <w:szCs w:val="28"/>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pPr>
        <w:pStyle w:val="Normal"/>
        <w:widowControl w:val="false"/>
        <w:tabs>
          <w:tab w:val="left" w:pos="1276" w:leader="none"/>
        </w:tabs>
        <w:spacing w:lineRule="auto" w:line="240" w:before="0" w:after="0"/>
        <w:ind w:left="709" w:hanging="0"/>
        <w:jc w:val="both"/>
        <w:rPr>
          <w:rStyle w:val="4"/>
          <w:sz w:val="28"/>
          <w:szCs w:val="28"/>
        </w:rPr>
      </w:pPr>
      <w:r>
        <w:rPr>
          <w:sz w:val="28"/>
          <w:szCs w:val="28"/>
        </w:rPr>
      </w:r>
    </w:p>
    <w:p>
      <w:pPr>
        <w:pStyle w:val="ListParagraph"/>
        <w:widowControl w:val="false"/>
        <w:numPr>
          <w:ilvl w:val="0"/>
          <w:numId w:val="1"/>
        </w:numPr>
        <w:tabs>
          <w:tab w:val="left" w:pos="284" w:leader="none"/>
          <w:tab w:val="left" w:pos="1276" w:leader="none"/>
        </w:tabs>
        <w:spacing w:lineRule="auto" w:line="240" w:before="0" w:after="0"/>
        <w:ind w:left="0" w:hanging="0"/>
        <w:contextualSpacing/>
        <w:jc w:val="center"/>
        <w:rPr>
          <w:rFonts w:ascii="Times New Roman" w:hAnsi="Times New Roman" w:cs="Times New Roman"/>
          <w:b/>
          <w:b/>
          <w:sz w:val="24"/>
          <w:szCs w:val="24"/>
        </w:rPr>
      </w:pPr>
      <w:r>
        <w:rPr>
          <w:rFonts w:cs="Times New Roman" w:ascii="Times New Roman" w:hAnsi="Times New Roman"/>
          <w:b/>
          <w:sz w:val="28"/>
          <w:szCs w:val="28"/>
        </w:rPr>
        <w:t>Заключительные положения</w:t>
      </w:r>
    </w:p>
    <w:p>
      <w:pPr>
        <w:pStyle w:val="ListParagraph"/>
        <w:widowControl w:val="false"/>
        <w:numPr>
          <w:ilvl w:val="1"/>
          <w:numId w:val="1"/>
        </w:numPr>
        <w:tabs>
          <w:tab w:val="left" w:pos="1276" w:leader="none"/>
        </w:tabs>
        <w:spacing w:lineRule="auto" w:line="240" w:before="0" w:after="0"/>
        <w:ind w:left="0" w:firstLine="709"/>
        <w:contextualSpacing/>
        <w:jc w:val="both"/>
        <w:rPr>
          <w:sz w:val="28"/>
          <w:szCs w:val="28"/>
        </w:rPr>
      </w:pPr>
      <w:r>
        <w:rPr>
          <w:rFonts w:cs="Times New Roman" w:ascii="Times New Roman" w:hAnsi="Times New Roman"/>
          <w:sz w:val="28"/>
          <w:szCs w:val="28"/>
        </w:rPr>
        <w:t xml:space="preserve">Настоящий Договор вступает в силу с момента его подписания Сторонами и действует до 31 мая 2020 г. </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cs="Times New Roman" w:ascii="Times New Roman" w:hAnsi="Times New Roman"/>
          <w:sz w:val="28"/>
          <w:szCs w:val="28"/>
        </w:rPr>
        <w:t>Во всем, что не оговорено в настоящем Договоре, Стороны руководствуются действующим законодательством Российской Федерации.</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Style w:val="4"/>
          <w:rFonts w:eastAsia="Calibri" w:eastAsiaTheme="minorHAnsi"/>
          <w:sz w:val="28"/>
          <w:szCs w:val="28"/>
        </w:rPr>
        <w:t>Все споры и разногласия, возникшие в связи с исполнением Договора, его изменением, расторжением, решаются сторонами путем переговоров.</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rPr>
      </w:pPr>
      <w:r>
        <w:rPr>
          <w:rStyle w:val="4"/>
          <w:rFonts w:eastAsia="Calibri" w:eastAsiaTheme="minorHAnsi"/>
          <w:sz w:val="28"/>
          <w:szCs w:val="28"/>
        </w:rPr>
        <w:t xml:space="preserve"> </w:t>
      </w:r>
      <w:r>
        <w:rPr>
          <w:rStyle w:val="4"/>
          <w:rFonts w:eastAsia="Calibri" w:eastAsiaTheme="minorHAnsi"/>
          <w:sz w:val="28"/>
          <w:szCs w:val="28"/>
        </w:rPr>
        <w:t xml:space="preserve">При неурегулировании в процессе переговоров спорных вопросов, споры разрешаются в Арбитражном суде г. Санкт-Петербурга и Ленинградской области в порядке, установленном действующим законодательством. </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Style w:val="4"/>
          <w:rFonts w:eastAsia="Calibri" w:eastAsiaTheme="minorHAnsi"/>
          <w:sz w:val="28"/>
          <w:szCs w:val="28"/>
        </w:rPr>
        <w:t xml:space="preserve"> </w:t>
      </w:r>
      <w:r>
        <w:rPr>
          <w:rStyle w:val="4"/>
          <w:rFonts w:eastAsia="Calibri" w:eastAsiaTheme="minorHAnsi"/>
          <w:sz w:val="28"/>
          <w:szCs w:val="28"/>
        </w:rPr>
        <w:t>Стороны обязуются уведомлять друг друга об изменении своих банковских реквизитов и адресов в течение 2-х рабочих дней с момента изменения таковых.</w:t>
      </w:r>
    </w:p>
    <w:p>
      <w:pPr>
        <w:pStyle w:val="ListParagraph"/>
        <w:widowControl w:val="false"/>
        <w:numPr>
          <w:ilvl w:val="1"/>
          <w:numId w:val="1"/>
        </w:numPr>
        <w:tabs>
          <w:tab w:val="left" w:pos="1276" w:leader="none"/>
        </w:tabs>
        <w:spacing w:lineRule="auto" w:line="240" w:before="0" w:after="0"/>
        <w:ind w:left="0" w:firstLine="709"/>
        <w:contextualSpacing/>
        <w:jc w:val="both"/>
        <w:rPr>
          <w:rStyle w:val="4"/>
          <w:rFonts w:eastAsia="Calibri" w:eastAsiaTheme="minorHAnsi"/>
          <w:color w:val="auto"/>
          <w:lang w:eastAsia="en-US" w:bidi="ar-SA"/>
        </w:rPr>
      </w:pPr>
      <w:r>
        <w:rPr>
          <w:rFonts w:cs="Times New Roman" w:ascii="Times New Roman" w:hAnsi="Times New Roman"/>
          <w:sz w:val="28"/>
          <w:szCs w:val="28"/>
        </w:rPr>
        <w:t xml:space="preserve"> </w:t>
      </w:r>
      <w:r>
        <w:rPr>
          <w:rStyle w:val="4"/>
          <w:rFonts w:eastAsia="Calibri" w:eastAsiaTheme="minorHAnsi"/>
          <w:sz w:val="28"/>
          <w:szCs w:val="28"/>
        </w:rPr>
        <w:t>Настоящий Договор составлен в трех экземплярах, имеющих одинаковую юридическую силу, по одному экземпляру для каждой из Сторон, третий экземпляр Балансодержателю.</w:t>
      </w:r>
    </w:p>
    <w:p>
      <w:pPr>
        <w:pStyle w:val="ListParagraph"/>
        <w:widowControl w:val="false"/>
        <w:numPr>
          <w:ilvl w:val="1"/>
          <w:numId w:val="1"/>
        </w:numPr>
        <w:tabs>
          <w:tab w:val="left" w:pos="1276" w:leader="none"/>
        </w:tabs>
        <w:spacing w:lineRule="auto" w:line="240" w:before="0" w:after="0"/>
        <w:ind w:left="0" w:firstLine="709"/>
        <w:contextualSpacing/>
        <w:jc w:val="both"/>
        <w:rPr>
          <w:rFonts w:ascii="Times New Roman" w:hAnsi="Times New Roman" w:cs="Times New Roman"/>
          <w:sz w:val="24"/>
          <w:szCs w:val="24"/>
        </w:rPr>
      </w:pPr>
      <w:r>
        <w:rPr>
          <w:rFonts w:eastAsia="Times New Roman" w:ascii="Times New Roman" w:hAnsi="Times New Roman"/>
          <w:color w:val="000000"/>
          <w:sz w:val="28"/>
          <w:szCs w:val="28"/>
          <w:lang w:eastAsia="ru-RU"/>
        </w:rPr>
        <w:t xml:space="preserve">К Договору прилагаются и являются его неотъемлемой частью: </w:t>
      </w:r>
    </w:p>
    <w:p>
      <w:pPr>
        <w:pStyle w:val="ListParagraph"/>
        <w:widowControl w:val="false"/>
        <w:tabs>
          <w:tab w:val="left" w:pos="1276" w:leader="none"/>
        </w:tabs>
        <w:spacing w:lineRule="auto" w:line="240" w:before="0" w:after="0"/>
        <w:ind w:left="0" w:hanging="0"/>
        <w:contextualSpacing/>
        <w:jc w:val="both"/>
        <w:rPr>
          <w:rFonts w:ascii="Times New Roman" w:hAnsi="Times New Roman" w:cs="Times New Roman"/>
          <w:sz w:val="24"/>
          <w:szCs w:val="24"/>
        </w:rPr>
      </w:pPr>
      <w:r>
        <w:rPr>
          <w:rStyle w:val="4"/>
          <w:rFonts w:eastAsia="Calibri" w:eastAsiaTheme="minorHAnsi"/>
          <w:sz w:val="28"/>
          <w:szCs w:val="28"/>
        </w:rPr>
        <w:t xml:space="preserve">Приложение № 1 – Перечень имущества </w:t>
      </w:r>
      <w:r>
        <w:rPr>
          <w:rFonts w:cs="Times New Roman" w:ascii="Times New Roman" w:hAnsi="Times New Roman"/>
          <w:sz w:val="28"/>
          <w:szCs w:val="28"/>
        </w:rPr>
        <w:t>являющегося предметом договора купли-продажи;</w:t>
      </w:r>
    </w:p>
    <w:p>
      <w:pPr>
        <w:pStyle w:val="ListParagraph"/>
        <w:widowControl w:val="false"/>
        <w:tabs>
          <w:tab w:val="left" w:pos="1276" w:leader="none"/>
        </w:tabs>
        <w:spacing w:lineRule="auto" w:line="240" w:before="0" w:after="0"/>
        <w:ind w:left="0" w:hanging="0"/>
        <w:contextualSpacing/>
        <w:jc w:val="both"/>
        <w:rPr>
          <w:rFonts w:ascii="Times New Roman" w:hAnsi="Times New Roman" w:cs="Times New Roman"/>
          <w:sz w:val="24"/>
          <w:szCs w:val="24"/>
        </w:rPr>
      </w:pPr>
      <w:r>
        <w:rPr>
          <w:rStyle w:val="4"/>
          <w:rFonts w:eastAsia="Calibri" w:eastAsiaTheme="minorHAnsi"/>
          <w:sz w:val="28"/>
          <w:szCs w:val="28"/>
        </w:rPr>
        <w:t>Приложение № 2 – Реквизиты для перечисления денежных средств.</w:t>
      </w:r>
    </w:p>
    <w:p>
      <w:pPr>
        <w:pStyle w:val="ListParagraph"/>
        <w:tabs>
          <w:tab w:val="left" w:pos="1276" w:leader="none"/>
        </w:tabs>
        <w:spacing w:lineRule="auto" w:line="240" w:before="0" w:after="0"/>
        <w:ind w:left="709" w:hanging="0"/>
        <w:contextualSpacing/>
        <w:jc w:val="both"/>
        <w:rPr>
          <w:rStyle w:val="4"/>
          <w:sz w:val="28"/>
          <w:szCs w:val="28"/>
        </w:rPr>
      </w:pPr>
      <w:r>
        <w:rPr>
          <w:sz w:val="28"/>
          <w:szCs w:val="28"/>
        </w:rPr>
      </w:r>
    </w:p>
    <w:p>
      <w:pPr>
        <w:pStyle w:val="ListParagraph"/>
        <w:numPr>
          <w:ilvl w:val="0"/>
          <w:numId w:val="1"/>
        </w:numPr>
        <w:tabs>
          <w:tab w:val="left" w:pos="284" w:leader="none"/>
        </w:tabs>
        <w:spacing w:lineRule="auto" w:line="240" w:before="0" w:after="0"/>
        <w:ind w:left="0" w:hanging="0"/>
        <w:contextualSpacing/>
        <w:jc w:val="center"/>
        <w:rPr>
          <w:rStyle w:val="4"/>
          <w:rFonts w:eastAsia="Calibri" w:eastAsiaTheme="minorHAnsi"/>
          <w:b/>
          <w:b/>
        </w:rPr>
      </w:pPr>
      <w:r>
        <w:rPr>
          <w:rStyle w:val="4"/>
          <w:rFonts w:eastAsia="Calibri" w:eastAsiaTheme="minorHAnsi"/>
          <w:b/>
          <w:sz w:val="28"/>
          <w:szCs w:val="28"/>
        </w:rPr>
        <w:t>Реквизиты Сторон</w:t>
      </w:r>
    </w:p>
    <w:p>
      <w:pPr>
        <w:pStyle w:val="ListParagraph"/>
        <w:tabs>
          <w:tab w:val="left" w:pos="284" w:leader="none"/>
        </w:tabs>
        <w:spacing w:lineRule="auto" w:line="240" w:before="0" w:after="0"/>
        <w:ind w:left="0" w:hanging="0"/>
        <w:contextualSpacing/>
        <w:rPr>
          <w:rStyle w:val="4"/>
          <w:sz w:val="28"/>
          <w:szCs w:val="28"/>
        </w:rPr>
      </w:pPr>
      <w:r>
        <w:rPr>
          <w:sz w:val="28"/>
          <w:szCs w:val="28"/>
        </w:rPr>
      </w:r>
    </w:p>
    <w:tbl>
      <w:tblPr>
        <w:tblW w:w="9068" w:type="dxa"/>
        <w:jc w:val="left"/>
        <w:tblInd w:w="0" w:type="dxa"/>
        <w:tblBorders>
          <w:top w:val="single" w:sz="2" w:space="0" w:color="000000"/>
          <w:left w:val="single" w:sz="2" w:space="0" w:color="000000"/>
          <w:bottom w:val="single" w:sz="2" w:space="0" w:color="000000"/>
          <w:insideH w:val="single" w:sz="2" w:space="0" w:color="000000"/>
        </w:tblBorders>
        <w:tblCellMar>
          <w:top w:w="0" w:type="dxa"/>
          <w:left w:w="103" w:type="dxa"/>
          <w:bottom w:w="0" w:type="dxa"/>
          <w:right w:w="108" w:type="dxa"/>
        </w:tblCellMar>
        <w:tblLook w:val="01e0" w:noVBand="0" w:noHBand="0" w:lastColumn="1" w:firstColumn="1" w:lastRow="1" w:firstRow="1"/>
      </w:tblPr>
      <w:tblGrid>
        <w:gridCol w:w="4816"/>
        <w:gridCol w:w="4251"/>
      </w:tblGrid>
      <w:tr>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8"/>
                <w:szCs w:val="28"/>
              </w:rPr>
              <w:t>«Продавец»</w:t>
            </w:r>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8"/>
                <w:szCs w:val="28"/>
              </w:rPr>
              <w:t>«Покупатель»</w:t>
            </w:r>
          </w:p>
        </w:tc>
      </w:tr>
      <w:tr>
        <w:trPr>
          <w:trHeight w:val="558" w:hRule="atLeast"/>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8"/>
                <w:szCs w:val="28"/>
              </w:rPr>
              <w:t>Федеральное казенное учреждение</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8"/>
                <w:szCs w:val="28"/>
              </w:rPr>
              <w:t>«Северо-Западный центр материально-технического обеспечения Федеральной службы войск национальной гвардии Российской Федерации» (ФКУ «СЗЦМТО Росгвардии»)</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8"/>
                <w:szCs w:val="28"/>
              </w:rPr>
              <w:t>Адрес почтовый и юридический:</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8"/>
                <w:szCs w:val="28"/>
              </w:rPr>
              <w:t>199034 г. Санкт-Петербург, 17 линия В.О., дом 4-6</w:t>
            </w:r>
          </w:p>
          <w:p>
            <w:pPr>
              <w:pStyle w:val="Normal"/>
              <w:spacing w:lineRule="atLeast" w:line="240" w:before="0" w:after="0"/>
              <w:contextualSpacing/>
              <w:jc w:val="both"/>
              <w:rPr>
                <w:sz w:val="28"/>
                <w:szCs w:val="28"/>
              </w:rPr>
            </w:pPr>
            <w:r>
              <w:rPr>
                <w:rFonts w:cs="Times New Roman" w:ascii="Times New Roman" w:hAnsi="Times New Roman"/>
                <w:sz w:val="28"/>
                <w:szCs w:val="28"/>
              </w:rPr>
              <w:t>Тел/факс: (812) 331-18-17</w:t>
            </w:r>
          </w:p>
          <w:p>
            <w:pPr>
              <w:pStyle w:val="Normal"/>
              <w:spacing w:lineRule="atLeast" w:line="240" w:before="0" w:after="0"/>
              <w:contextualSpacing/>
              <w:jc w:val="both"/>
              <w:rPr>
                <w:rFonts w:ascii="Times New Roman" w:hAnsi="Times New Roman" w:cs="Times New Roman"/>
                <w:sz w:val="24"/>
                <w:szCs w:val="24"/>
              </w:rPr>
            </w:pPr>
            <w:r>
              <w:rPr>
                <w:rFonts w:cs="Times New Roman" w:ascii="Times New Roman" w:hAnsi="Times New Roman"/>
                <w:sz w:val="28"/>
                <w:szCs w:val="28"/>
              </w:rPr>
              <w:t>Адрес электронной почты:</w:t>
            </w:r>
          </w:p>
          <w:p>
            <w:pPr>
              <w:pStyle w:val="Normal"/>
              <w:spacing w:lineRule="atLeast" w:line="240" w:before="0" w:after="0"/>
              <w:contextualSpacing/>
              <w:jc w:val="both"/>
              <w:rPr/>
            </w:pPr>
            <w:hyperlink r:id="rId2">
              <w:r>
                <w:rPr>
                  <w:rStyle w:val="Style14"/>
                  <w:rFonts w:ascii="Times New Roman" w:hAnsi="Times New Roman"/>
                  <w:sz w:val="28"/>
                  <w:szCs w:val="28"/>
                </w:rPr>
                <w:t>rosgvard.gz@mail.ru</w:t>
              </w:r>
            </w:hyperlink>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right="140" w:hanging="0"/>
              <w:contextualSpacing/>
              <w:rPr>
                <w:rFonts w:ascii="Times New Roman" w:hAnsi="Times New Roman" w:cs="Times New Roman"/>
                <w:sz w:val="28"/>
                <w:szCs w:val="28"/>
              </w:rPr>
            </w:pPr>
            <w:r>
              <w:rPr>
                <w:rFonts w:cs="Times New Roman" w:ascii="Times New Roman" w:hAnsi="Times New Roman"/>
                <w:sz w:val="28"/>
                <w:szCs w:val="28"/>
              </w:rPr>
            </w:r>
          </w:p>
        </w:tc>
      </w:tr>
      <w:tr>
        <w:trPr>
          <w:trHeight w:val="2518" w:hRule="atLeast"/>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before="0" w:after="200"/>
              <w:ind w:left="284" w:hanging="0"/>
              <w:contextualSpacing/>
              <w:jc w:val="both"/>
              <w:rPr>
                <w:rFonts w:ascii="Times New Roman" w:hAnsi="Times New Roman" w:cs="Times New Roman"/>
                <w:b/>
                <w:b/>
                <w:sz w:val="28"/>
                <w:szCs w:val="28"/>
              </w:rPr>
            </w:pPr>
            <w:r>
              <w:rPr>
                <w:rFonts w:cs="Times New Roman" w:ascii="Times New Roman" w:hAnsi="Times New Roman"/>
                <w:b/>
                <w:sz w:val="28"/>
                <w:szCs w:val="28"/>
              </w:rPr>
            </w:r>
          </w:p>
          <w:p>
            <w:pPr>
              <w:pStyle w:val="Normal"/>
              <w:suppressAutoHyphens w:val="true"/>
              <w:spacing w:lineRule="auto" w:line="240" w:before="0" w:after="0"/>
              <w:contextualSpacing/>
              <w:jc w:val="both"/>
              <w:rPr>
                <w:sz w:val="28"/>
                <w:szCs w:val="28"/>
              </w:rPr>
            </w:pPr>
            <w:r>
              <w:rPr>
                <w:rFonts w:eastAsia="Times New Roman" w:cs="Times New Roman" w:ascii="Times New Roman" w:hAnsi="Times New Roman"/>
                <w:b/>
                <w:color w:val="00000A"/>
                <w:sz w:val="28"/>
                <w:szCs w:val="28"/>
                <w:lang w:eastAsia="ru-RU"/>
              </w:rPr>
              <w:t>Банковские реквизиты:</w:t>
            </w:r>
          </w:p>
          <w:p>
            <w:pPr>
              <w:pStyle w:val="Normal"/>
              <w:suppressAutoHyphens w:val="true"/>
              <w:spacing w:lineRule="auto" w:line="240" w:before="0" w:after="0"/>
              <w:contextualSpacing/>
              <w:jc w:val="both"/>
              <w:rPr>
                <w:sz w:val="28"/>
                <w:szCs w:val="28"/>
              </w:rPr>
            </w:pPr>
            <w:r>
              <w:rPr>
                <w:rFonts w:eastAsia="Times New Roman" w:cs="font297" w:ascii="Times New Roman" w:hAnsi="Times New Roman"/>
                <w:color w:val="00000A"/>
                <w:sz w:val="28"/>
                <w:szCs w:val="28"/>
                <w:lang w:eastAsia="ru-RU"/>
              </w:rPr>
              <w:t>УФК по г. Санкт-Петербургу (ФКУ «СЗЦМТО Росгвардии», л/с 03721F91210)</w:t>
            </w:r>
          </w:p>
          <w:p>
            <w:pPr>
              <w:pStyle w:val="Normal"/>
              <w:suppressAutoHyphens w:val="true"/>
              <w:spacing w:lineRule="auto" w:line="240" w:before="0" w:after="0"/>
              <w:contextualSpacing/>
              <w:jc w:val="both"/>
              <w:rPr>
                <w:sz w:val="28"/>
                <w:szCs w:val="28"/>
              </w:rPr>
            </w:pPr>
            <w:r>
              <w:rPr>
                <w:rFonts w:eastAsia="Times New Roman" w:cs="font297" w:ascii="Times New Roman" w:hAnsi="Times New Roman"/>
                <w:color w:val="00000A"/>
                <w:sz w:val="28"/>
                <w:szCs w:val="28"/>
                <w:lang w:eastAsia="ru-RU"/>
              </w:rPr>
              <w:t>счет № 40105810740300000002 в</w:t>
            </w:r>
          </w:p>
          <w:p>
            <w:pPr>
              <w:pStyle w:val="Normal"/>
              <w:suppressAutoHyphens w:val="true"/>
              <w:spacing w:lineRule="auto" w:line="240" w:before="0" w:after="0"/>
              <w:contextualSpacing/>
              <w:jc w:val="both"/>
              <w:rPr>
                <w:sz w:val="28"/>
                <w:szCs w:val="28"/>
              </w:rPr>
            </w:pPr>
            <w:r>
              <w:rPr>
                <w:rFonts w:eastAsia="Times New Roman" w:cs="font297" w:ascii="Times New Roman" w:hAnsi="Times New Roman"/>
                <w:color w:val="00000A"/>
                <w:sz w:val="28"/>
                <w:szCs w:val="28"/>
                <w:lang w:eastAsia="ru-RU"/>
              </w:rPr>
              <w:t xml:space="preserve">Северо-Западном ГУ Банка России по г. Санкт-Петербургу, </w:t>
            </w:r>
          </w:p>
          <w:p>
            <w:pPr>
              <w:pStyle w:val="Normal"/>
              <w:suppressAutoHyphens w:val="true"/>
              <w:spacing w:lineRule="auto" w:line="240" w:before="0" w:after="0"/>
              <w:contextualSpacing/>
              <w:jc w:val="both"/>
              <w:rPr>
                <w:sz w:val="28"/>
                <w:szCs w:val="28"/>
              </w:rPr>
            </w:pPr>
            <w:r>
              <w:rPr>
                <w:rFonts w:eastAsia="Times New Roman" w:cs="font297" w:ascii="Times New Roman" w:hAnsi="Times New Roman"/>
                <w:color w:val="00000A"/>
                <w:sz w:val="28"/>
                <w:szCs w:val="28"/>
                <w:lang w:eastAsia="ru-RU"/>
              </w:rPr>
              <w:t>БИК 044030001</w:t>
            </w:r>
          </w:p>
          <w:p>
            <w:pPr>
              <w:pStyle w:val="Normal"/>
              <w:suppressAutoHyphens w:val="true"/>
              <w:spacing w:lineRule="auto" w:line="240" w:before="0" w:after="0"/>
              <w:contextualSpacing/>
              <w:jc w:val="both"/>
              <w:rPr>
                <w:sz w:val="28"/>
                <w:szCs w:val="28"/>
              </w:rPr>
            </w:pPr>
            <w:r>
              <w:rPr>
                <w:rFonts w:eastAsia="Times New Roman" w:cs="font297" w:ascii="Times New Roman" w:hAnsi="Times New Roman"/>
                <w:color w:val="00000A"/>
                <w:sz w:val="28"/>
                <w:szCs w:val="28"/>
                <w:lang w:eastAsia="ru-RU"/>
              </w:rPr>
              <w:t xml:space="preserve">ОКПО 08721673 </w:t>
            </w:r>
          </w:p>
          <w:p>
            <w:pPr>
              <w:pStyle w:val="Normal"/>
              <w:suppressAutoHyphens w:val="true"/>
              <w:spacing w:lineRule="auto" w:line="240" w:before="0" w:after="0"/>
              <w:contextualSpacing/>
              <w:jc w:val="both"/>
              <w:rPr>
                <w:b w:val="false"/>
                <w:b w:val="false"/>
                <w:bCs w:val="false"/>
              </w:rPr>
            </w:pPr>
            <w:r>
              <w:rPr>
                <w:rFonts w:eastAsia="Times New Roman" w:cs="font297" w:ascii="Times New Roman" w:hAnsi="Times New Roman"/>
                <w:b w:val="false"/>
                <w:bCs w:val="false"/>
                <w:color w:val="00000A"/>
                <w:sz w:val="28"/>
                <w:szCs w:val="28"/>
                <w:lang w:eastAsia="ru-RU"/>
              </w:rPr>
              <w:t>ОГРН 1177847125664</w:t>
            </w:r>
          </w:p>
          <w:p>
            <w:pPr>
              <w:pStyle w:val="Normal"/>
              <w:suppressAutoHyphens w:val="true"/>
              <w:spacing w:lineRule="auto" w:line="240" w:before="0" w:after="0"/>
              <w:contextualSpacing/>
              <w:jc w:val="both"/>
              <w:rPr>
                <w:b w:val="false"/>
                <w:b w:val="false"/>
                <w:bCs w:val="false"/>
              </w:rPr>
            </w:pPr>
            <w:r>
              <w:rPr>
                <w:rFonts w:eastAsia="Times New Roman" w:cs="font297" w:ascii="Times New Roman" w:hAnsi="Times New Roman"/>
                <w:b w:val="false"/>
                <w:bCs w:val="false"/>
                <w:color w:val="00000A"/>
                <w:sz w:val="28"/>
                <w:szCs w:val="28"/>
                <w:lang w:eastAsia="ru-RU"/>
              </w:rPr>
              <w:t>ИНН/КПП 7801330490/ 780101001</w:t>
            </w:r>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left="284" w:hanging="0"/>
              <w:contextualSpacing/>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before="0" w:after="200"/>
              <w:ind w:left="3" w:hanging="0"/>
              <w:contextualSpacing/>
              <w:jc w:val="center"/>
              <w:rPr>
                <w:rFonts w:ascii="Times New Roman" w:hAnsi="Times New Roman" w:cs="Times New Roman"/>
                <w:b/>
                <w:b/>
                <w:sz w:val="24"/>
                <w:szCs w:val="24"/>
              </w:rPr>
            </w:pPr>
            <w:r>
              <w:rPr>
                <w:rFonts w:cs="Times New Roman" w:ascii="Times New Roman" w:hAnsi="Times New Roman"/>
                <w:b/>
                <w:sz w:val="28"/>
                <w:szCs w:val="28"/>
              </w:rPr>
              <w:t>Банковские реквизиты:</w:t>
            </w:r>
          </w:p>
          <w:p>
            <w:pPr>
              <w:pStyle w:val="Normal"/>
              <w:spacing w:before="0" w:after="200"/>
              <w:ind w:right="28" w:hanging="0"/>
              <w:contextualSpacing/>
              <w:jc w:val="center"/>
              <w:rPr>
                <w:rFonts w:ascii="Times New Roman" w:hAnsi="Times New Roman" w:cs="Times New Roman"/>
                <w:sz w:val="28"/>
                <w:szCs w:val="28"/>
              </w:rPr>
            </w:pPr>
            <w:r>
              <w:rPr>
                <w:rFonts w:cs="Times New Roman" w:ascii="Times New Roman" w:hAnsi="Times New Roman"/>
                <w:sz w:val="28"/>
                <w:szCs w:val="28"/>
              </w:rPr>
            </w:r>
          </w:p>
        </w:tc>
      </w:tr>
      <w:tr>
        <w:trPr>
          <w:trHeight w:val="629" w:hRule="atLeast"/>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8"/>
                <w:szCs w:val="28"/>
              </w:rPr>
              <w:t xml:space="preserve">                           </w:t>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8"/>
                <w:szCs w:val="28"/>
              </w:rPr>
              <w:t>«Продавец»</w:t>
            </w:r>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left="284" w:hanging="0"/>
              <w:contextualSpacing/>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8"/>
                <w:szCs w:val="28"/>
              </w:rPr>
              <w:t>«Покупатель»</w:t>
            </w:r>
          </w:p>
        </w:tc>
      </w:tr>
      <w:tr>
        <w:trPr>
          <w:trHeight w:val="697" w:hRule="atLeast"/>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before="0" w:after="200"/>
              <w:ind w:left="284" w:hanging="0"/>
              <w:contextualSpacing/>
              <w:jc w:val="both"/>
              <w:rPr>
                <w:rFonts w:ascii="Times New Roman" w:hAnsi="Times New Roman" w:cs="Times New Roman"/>
                <w:b/>
                <w:b/>
                <w:sz w:val="28"/>
                <w:szCs w:val="28"/>
              </w:rPr>
            </w:pPr>
            <w:r>
              <w:rPr>
                <w:rFonts w:cs="Times New Roman" w:ascii="Times New Roman" w:hAnsi="Times New Roman"/>
                <w:b/>
                <w:sz w:val="28"/>
                <w:szCs w:val="28"/>
              </w:rPr>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8"/>
                <w:szCs w:val="28"/>
              </w:rPr>
              <w:t>____________________________</w:t>
            </w:r>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left="284" w:hanging="0"/>
              <w:contextualSpacing/>
              <w:jc w:val="center"/>
              <w:rPr>
                <w:rFonts w:ascii="Times New Roman" w:hAnsi="Times New Roman" w:cs="Times New Roman"/>
                <w:b/>
                <w:b/>
                <w:sz w:val="28"/>
                <w:szCs w:val="28"/>
              </w:rPr>
            </w:pPr>
            <w:r>
              <w:rPr>
                <w:rFonts w:cs="Times New Roman" w:ascii="Times New Roman" w:hAnsi="Times New Roman"/>
                <w:b/>
                <w:sz w:val="28"/>
                <w:szCs w:val="28"/>
              </w:rPr>
            </w:r>
          </w:p>
          <w:p>
            <w:pPr>
              <w:pStyle w:val="Normal"/>
              <w:spacing w:before="0" w:after="200"/>
              <w:ind w:left="284" w:hanging="0"/>
              <w:contextualSpacing/>
              <w:rPr>
                <w:sz w:val="28"/>
                <w:szCs w:val="28"/>
              </w:rPr>
            </w:pPr>
            <w:r>
              <w:rPr>
                <w:rFonts w:cs="Times New Roman" w:ascii="Times New Roman" w:hAnsi="Times New Roman"/>
                <w:b/>
                <w:sz w:val="28"/>
                <w:szCs w:val="28"/>
              </w:rPr>
              <w:t>__________________________</w:t>
            </w:r>
          </w:p>
        </w:tc>
      </w:tr>
      <w:tr>
        <w:trPr>
          <w:trHeight w:val="436" w:hRule="atLeast"/>
        </w:trPr>
        <w:tc>
          <w:tcPr>
            <w:tcW w:w="4816" w:type="dxa"/>
            <w:tcBorders>
              <w:top w:val="single" w:sz="2" w:space="0" w:color="000000"/>
              <w:left w:val="single" w:sz="2" w:space="0" w:color="000000"/>
              <w:bottom w:val="single" w:sz="2" w:space="0" w:color="000000"/>
              <w:insideH w:val="single" w:sz="2" w:space="0" w:color="000000"/>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8"/>
                <w:szCs w:val="28"/>
              </w:rPr>
              <w:t xml:space="preserve">     </w:t>
            </w:r>
            <w:r>
              <w:rPr>
                <w:rFonts w:cs="Times New Roman" w:ascii="Times New Roman" w:hAnsi="Times New Roman"/>
                <w:b/>
                <w:sz w:val="28"/>
                <w:szCs w:val="28"/>
              </w:rPr>
              <w:t>МП</w:t>
            </w:r>
          </w:p>
        </w:tc>
        <w:tc>
          <w:tcPr>
            <w:tcW w:w="4251" w:type="dxa"/>
            <w:tcBorders>
              <w:top w:val="single" w:sz="2" w:space="0" w:color="000000"/>
              <w:left w:val="single" w:sz="2" w:space="0" w:color="000000"/>
              <w:bottom w:val="single" w:sz="2" w:space="0" w:color="000000"/>
              <w:right w:val="single" w:sz="2" w:space="0" w:color="000000"/>
              <w:insideH w:val="single" w:sz="2" w:space="0" w:color="000000"/>
              <w:insideV w:val="single" w:sz="2" w:space="0" w:color="000000"/>
            </w:tcBorders>
            <w:shd w:fill="auto" w:val="clear"/>
          </w:tcPr>
          <w:p>
            <w:pPr>
              <w:pStyle w:val="Normal"/>
              <w:spacing w:before="0" w:after="200"/>
              <w:ind w:left="284" w:hanging="0"/>
              <w:contextualSpacing/>
              <w:rPr>
                <w:rFonts w:ascii="Times New Roman" w:hAnsi="Times New Roman" w:cs="Times New Roman"/>
                <w:sz w:val="24"/>
                <w:szCs w:val="24"/>
              </w:rPr>
            </w:pPr>
            <w:r>
              <w:rPr>
                <w:rFonts w:cs="Times New Roman" w:ascii="Times New Roman" w:hAnsi="Times New Roman"/>
                <w:b/>
                <w:sz w:val="28"/>
                <w:szCs w:val="28"/>
              </w:rPr>
              <w:t xml:space="preserve">       </w:t>
            </w:r>
            <w:r>
              <w:rPr>
                <w:rFonts w:cs="Times New Roman" w:ascii="Times New Roman" w:hAnsi="Times New Roman"/>
                <w:b/>
                <w:sz w:val="28"/>
                <w:szCs w:val="28"/>
              </w:rPr>
              <w:t>МП</w:t>
            </w:r>
          </w:p>
        </w:tc>
      </w:tr>
    </w:tbl>
    <w:p>
      <w:pPr>
        <w:sectPr>
          <w:headerReference w:type="default" r:id="rId3"/>
          <w:footerReference w:type="default" r:id="rId4"/>
          <w:type w:val="nextPage"/>
          <w:pgSz w:w="11906" w:h="16838"/>
          <w:pgMar w:left="1701" w:right="1137" w:header="284" w:top="1374" w:footer="709" w:bottom="1134" w:gutter="0"/>
          <w:pgNumType w:fmt="decimal"/>
          <w:formProt w:val="false"/>
          <w:textDirection w:val="lrTb"/>
          <w:docGrid w:type="default" w:linePitch="360" w:charSpace="4096"/>
        </w:sectPr>
      </w:pPr>
    </w:p>
    <w:p>
      <w:pPr>
        <w:pStyle w:val="ListParagraph"/>
        <w:tabs>
          <w:tab w:val="left" w:pos="993" w:leader="none"/>
        </w:tabs>
        <w:spacing w:lineRule="auto" w:line="240" w:before="0" w:after="0"/>
        <w:ind w:left="10773" w:firstLine="709"/>
        <w:contextualSpacing/>
        <w:rPr>
          <w:rFonts w:ascii="Times New Roman" w:hAnsi="Times New Roman" w:cs="Times New Roman"/>
          <w:sz w:val="24"/>
          <w:szCs w:val="24"/>
        </w:rPr>
      </w:pPr>
      <w:r>
        <w:rPr>
          <w:rFonts w:cs="Times New Roman" w:ascii="Times New Roman" w:hAnsi="Times New Roman"/>
          <w:sz w:val="28"/>
          <w:szCs w:val="28"/>
        </w:rPr>
        <w:t xml:space="preserve">Приложение № 1 </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8"/>
          <w:szCs w:val="28"/>
        </w:rPr>
        <w:t>к Догов</w:t>
      </w:r>
      <w:r>
        <w:rPr>
          <w:rFonts w:cs="Times New Roman" w:ascii="Times New Roman" w:hAnsi="Times New Roman"/>
          <w:sz w:val="24"/>
          <w:szCs w:val="24"/>
        </w:rPr>
        <w:t>ору купли-продажи</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4"/>
          <w:szCs w:val="24"/>
        </w:rPr>
        <w:t xml:space="preserve">высвобождаемого движимого военного имущества </w:t>
      </w:r>
    </w:p>
    <w:p>
      <w:pPr>
        <w:pStyle w:val="ListParagraph"/>
        <w:tabs>
          <w:tab w:val="left" w:pos="993" w:leader="none"/>
        </w:tabs>
        <w:spacing w:lineRule="auto" w:line="240" w:before="0" w:after="0"/>
        <w:ind w:left="10773" w:hanging="0"/>
        <w:contextualSpacing/>
        <w:rPr>
          <w:rFonts w:ascii="Times New Roman" w:hAnsi="Times New Roman" w:cs="Times New Roman"/>
          <w:sz w:val="24"/>
          <w:szCs w:val="24"/>
        </w:rPr>
      </w:pPr>
      <w:r>
        <w:rPr>
          <w:rFonts w:cs="Times New Roman" w:ascii="Times New Roman" w:hAnsi="Times New Roman"/>
          <w:sz w:val="24"/>
          <w:szCs w:val="24"/>
        </w:rPr>
        <w:t>от «___» _______ 201__ г. №_______</w:t>
      </w:r>
    </w:p>
    <w:p>
      <w:pPr>
        <w:pStyle w:val="ListParagraph"/>
        <w:tabs>
          <w:tab w:val="left" w:pos="993" w:leader="none"/>
        </w:tabs>
        <w:spacing w:lineRule="auto" w:line="240" w:before="0" w:after="0"/>
        <w:ind w:left="0" w:firstLine="709"/>
        <w:contextualSpacing/>
        <w:jc w:val="right"/>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t xml:space="preserve">ПЕРЕЧЕНЬ ИМУЩЕСТВА </w:t>
      </w:r>
    </w:p>
    <w:p>
      <w:pPr>
        <w:pStyle w:val="ListParagraph"/>
        <w:tabs>
          <w:tab w:val="left" w:pos="993" w:leader="none"/>
        </w:tabs>
        <w:spacing w:lineRule="auto" w:line="240" w:before="0" w:after="0"/>
        <w:ind w:left="0" w:firstLine="709"/>
        <w:contextualSpacing/>
        <w:jc w:val="center"/>
        <w:rPr/>
      </w:pPr>
      <w:r>
        <w:rPr>
          <w:rFonts w:cs="Times New Roman" w:ascii="Times New Roman" w:hAnsi="Times New Roman"/>
          <w:sz w:val="24"/>
          <w:szCs w:val="24"/>
        </w:rPr>
        <w:t>являющегося предметом договора купли-продажи</w:t>
      </w:r>
    </w:p>
    <w:tbl>
      <w:tblPr>
        <w:tblStyle w:val="a5"/>
        <w:tblW w:w="14844" w:type="dxa"/>
        <w:jc w:val="left"/>
        <w:tblInd w:w="0" w:type="dxa"/>
        <w:tblCellMar>
          <w:top w:w="0" w:type="dxa"/>
          <w:left w:w="108" w:type="dxa"/>
          <w:bottom w:w="0" w:type="dxa"/>
          <w:right w:w="108" w:type="dxa"/>
        </w:tblCellMar>
        <w:tblLook w:val="04a0" w:noVBand="1" w:noHBand="0" w:lastColumn="0" w:firstColumn="1" w:lastRow="0" w:firstRow="1"/>
      </w:tblPr>
      <w:tblGrid>
        <w:gridCol w:w="534"/>
        <w:gridCol w:w="3380"/>
        <w:gridCol w:w="968"/>
        <w:gridCol w:w="844"/>
        <w:gridCol w:w="2319"/>
        <w:gridCol w:w="1419"/>
        <w:gridCol w:w="1309"/>
        <w:gridCol w:w="2616"/>
        <w:gridCol w:w="1453"/>
      </w:tblGrid>
      <w:tr>
        <w:trPr>
          <w:trHeight w:val="1473" w:hRule="exact"/>
          <w:cantSplit w:val="true"/>
        </w:trPr>
        <w:tc>
          <w:tcPr>
            <w:tcW w:w="534" w:type="dxa"/>
            <w:tcBorders/>
            <w:shd w:fill="auto" w:val="clear"/>
          </w:tcPr>
          <w:p>
            <w:pPr>
              <w:pStyle w:val="ListParagraph"/>
              <w:tabs>
                <w:tab w:val="left" w:pos="993" w:leader="none"/>
              </w:tabs>
              <w:spacing w:lineRule="auto" w:line="240" w:before="0" w:after="0"/>
              <w:ind w:left="-57" w:right="-57"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 </w:t>
            </w:r>
            <w:r>
              <w:rPr>
                <w:rFonts w:cs="Times New Roman" w:ascii="Times New Roman" w:hAnsi="Times New Roman"/>
                <w:sz w:val="24"/>
                <w:szCs w:val="24"/>
              </w:rPr>
              <w:t>п/п</w:t>
            </w:r>
          </w:p>
        </w:tc>
        <w:tc>
          <w:tcPr>
            <w:tcW w:w="338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Наименование имущества </w:t>
            </w:r>
          </w:p>
        </w:tc>
        <w:tc>
          <w:tcPr>
            <w:tcW w:w="968" w:type="dxa"/>
            <w:tcBorders/>
            <w:shd w:fill="auto" w:val="clear"/>
            <w:textDirection w:val="btLr"/>
            <w:vAlign w:val="center"/>
          </w:tcPr>
          <w:p>
            <w:pPr>
              <w:pStyle w:val="ListParagraph"/>
              <w:tabs>
                <w:tab w:val="left" w:pos="993" w:leader="none"/>
              </w:tabs>
              <w:spacing w:lineRule="auto" w:line="240" w:before="0" w:after="0"/>
              <w:ind w:left="113" w:right="113"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Ед. измерения </w:t>
            </w:r>
          </w:p>
        </w:tc>
        <w:tc>
          <w:tcPr>
            <w:tcW w:w="844" w:type="dxa"/>
            <w:tcBorders/>
            <w:shd w:fill="auto" w:val="clear"/>
            <w:textDirection w:val="btLr"/>
            <w:vAlign w:val="center"/>
          </w:tcPr>
          <w:p>
            <w:pPr>
              <w:pStyle w:val="ListParagraph"/>
              <w:tabs>
                <w:tab w:val="left" w:pos="993" w:leader="none"/>
              </w:tabs>
              <w:spacing w:lineRule="auto" w:line="240" w:before="0" w:after="0"/>
              <w:ind w:left="113" w:right="113" w:hanging="0"/>
              <w:contextualSpacing/>
              <w:jc w:val="center"/>
              <w:rPr>
                <w:rFonts w:ascii="Times New Roman" w:hAnsi="Times New Roman" w:cs="Times New Roman"/>
                <w:sz w:val="24"/>
                <w:szCs w:val="24"/>
              </w:rPr>
            </w:pPr>
            <w:r>
              <w:rPr>
                <w:rFonts w:cs="Times New Roman" w:ascii="Times New Roman" w:hAnsi="Times New Roman"/>
                <w:sz w:val="24"/>
                <w:szCs w:val="24"/>
              </w:rPr>
              <w:t>Кол-во</w:t>
            </w:r>
          </w:p>
        </w:tc>
        <w:tc>
          <w:tcPr>
            <w:tcW w:w="231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Качественное состояние (техническое состояние, категория)</w:t>
            </w:r>
          </w:p>
        </w:tc>
        <w:tc>
          <w:tcPr>
            <w:tcW w:w="141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Год выпуска, при наличии</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износа</w:t>
            </w:r>
          </w:p>
        </w:tc>
        <w:tc>
          <w:tcPr>
            <w:tcW w:w="261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Местонахождение (наименование балансодержателя, полный адрес)</w:t>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 xml:space="preserve">Примечание </w:t>
            </w:r>
          </w:p>
        </w:tc>
      </w:tr>
      <w:tr>
        <w:trPr/>
        <w:tc>
          <w:tcPr>
            <w:tcW w:w="53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1</w:t>
            </w:r>
          </w:p>
        </w:tc>
        <w:tc>
          <w:tcPr>
            <w:tcW w:w="3380"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2</w:t>
            </w:r>
          </w:p>
        </w:tc>
        <w:tc>
          <w:tcPr>
            <w:tcW w:w="968"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3</w:t>
            </w:r>
          </w:p>
        </w:tc>
        <w:tc>
          <w:tcPr>
            <w:tcW w:w="844"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4</w:t>
            </w:r>
          </w:p>
        </w:tc>
        <w:tc>
          <w:tcPr>
            <w:tcW w:w="231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5</w:t>
            </w:r>
          </w:p>
        </w:tc>
        <w:tc>
          <w:tcPr>
            <w:tcW w:w="141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6</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7</w:t>
            </w:r>
          </w:p>
        </w:tc>
        <w:tc>
          <w:tcPr>
            <w:tcW w:w="2616"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8</w:t>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t>9</w:t>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Стальной лом и отходы толщиной менее 4 мм, 12А, образовавшийся от списания камеры холодильной КХН-18 с 2 холодильными установками, заводской №148 в количестве 1 штуки</w:t>
            </w:r>
          </w:p>
        </w:tc>
        <w:tc>
          <w:tcPr>
            <w:tcW w:w="968"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307</w:t>
            </w:r>
          </w:p>
        </w:tc>
        <w:tc>
          <w:tcPr>
            <w:tcW w:w="2319" w:type="dxa"/>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2002</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restart"/>
            <w:tcBorders/>
            <w:shd w:fill="auto" w:val="clear"/>
          </w:tcPr>
          <w:p>
            <w:pPr>
              <w:pStyle w:val="Normal"/>
              <w:shd w:val="clear" w:fill="auto"/>
              <w:tabs>
                <w:tab w:val="left" w:pos="993" w:leader="none"/>
              </w:tabs>
              <w:snapToGrid w:val="false"/>
              <w:spacing w:lineRule="auto" w:line="240" w:before="0" w:after="0"/>
              <w:ind w:left="0" w:right="-1" w:firstLine="318"/>
              <w:jc w:val="both"/>
              <w:rPr>
                <w:rFonts w:ascii="Times New Roman" w:hAnsi="Times New Roman" w:cs="Times New Roman"/>
                <w:iCs/>
                <w:spacing w:val="-1"/>
                <w:sz w:val="23"/>
                <w:szCs w:val="23"/>
                <w:lang w:eastAsia="en-US"/>
              </w:rPr>
            </w:pPr>
            <w:r>
              <w:rPr>
                <w:rFonts w:cs="Times New Roman" w:ascii="Times New Roman" w:hAnsi="Times New Roman"/>
                <w:iCs/>
                <w:spacing w:val="-1"/>
                <w:sz w:val="23"/>
                <w:szCs w:val="23"/>
                <w:lang w:eastAsia="en-US"/>
              </w:rPr>
            </w:r>
          </w:p>
          <w:p>
            <w:pPr>
              <w:pStyle w:val="Normal"/>
              <w:shd w:val="clear" w:fill="auto"/>
              <w:tabs>
                <w:tab w:val="left" w:pos="993" w:leader="none"/>
              </w:tabs>
              <w:snapToGrid w:val="false"/>
              <w:spacing w:lineRule="auto" w:line="240" w:before="0" w:after="0"/>
              <w:ind w:left="0" w:right="-1" w:firstLine="318"/>
              <w:jc w:val="both"/>
              <w:rPr/>
            </w:pPr>
            <w:r>
              <w:rPr>
                <w:rFonts w:cs="Times New Roman" w:ascii="Times New Roman" w:hAnsi="Times New Roman"/>
                <w:iCs/>
                <w:spacing w:val="-1"/>
                <w:sz w:val="23"/>
                <w:szCs w:val="23"/>
                <w:lang w:eastAsia="en-US"/>
              </w:rPr>
              <w:t>Санкт-Петербургский военный институт ВНГ РФ, 198206, Санкт-Петербург, ул. Летчика Пилютова, д. 1</w:t>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Стальной лом и отходы толщиной менее 4 мм, ОС000017601, образовавшийся от списания шкафа холодильного, заводской № 9447 в количестве 1 штуки</w:t>
            </w:r>
          </w:p>
        </w:tc>
        <w:tc>
          <w:tcPr>
            <w:tcW w:w="968"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228,4</w:t>
            </w:r>
          </w:p>
        </w:tc>
        <w:tc>
          <w:tcPr>
            <w:tcW w:w="2319" w:type="dxa"/>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1992</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Лом алюминия, изделия из алюминия, ОС000017602, образовавшиеся от списания холодильной установки МВВ-4-1-2, заводской № 11355 в количестве 1 штуки</w:t>
            </w:r>
          </w:p>
        </w:tc>
        <w:tc>
          <w:tcPr>
            <w:tcW w:w="968"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288,39</w:t>
            </w:r>
          </w:p>
        </w:tc>
        <w:tc>
          <w:tcPr>
            <w:tcW w:w="2319" w:type="dxa"/>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2005</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Лом меди МИКС, ОС000017603, образовавшийся от списания холодильной установки МВВ-4-1-2, заводской № 11355 в количестве 1 штуки</w:t>
            </w:r>
          </w:p>
        </w:tc>
        <w:tc>
          <w:tcPr>
            <w:tcW w:w="968"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8</w:t>
            </w:r>
          </w:p>
        </w:tc>
        <w:tc>
          <w:tcPr>
            <w:tcW w:w="2319" w:type="dxa"/>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2005</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Лом алюминия, Алюминий пищевой, образовавшийся от списания камеры холодильной КХС-2-12 ЮМ, заводской № 11355 в количестве 1 штуки</w:t>
            </w:r>
          </w:p>
        </w:tc>
        <w:tc>
          <w:tcPr>
            <w:tcW w:w="968"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86,5</w:t>
            </w:r>
          </w:p>
        </w:tc>
        <w:tc>
          <w:tcPr>
            <w:tcW w:w="2319" w:type="dxa"/>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1992</w:t>
            </w:r>
          </w:p>
        </w:tc>
        <w:tc>
          <w:tcPr>
            <w:tcW w:w="1309" w:type="dxa"/>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top w:val="nil"/>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top w:val="nil"/>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Нержавеющая сталь, 5Б26, образовавшаяся от списания холодильной установки МВВ-4-1-2, заводской № 11355 в количестве 1 штуки</w:t>
            </w:r>
          </w:p>
        </w:tc>
        <w:tc>
          <w:tcPr>
            <w:tcW w:w="968"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9,79</w:t>
            </w:r>
          </w:p>
        </w:tc>
        <w:tc>
          <w:tcPr>
            <w:tcW w:w="2319" w:type="dxa"/>
            <w:tcBorders>
              <w:top w:val="nil"/>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2005</w:t>
            </w:r>
          </w:p>
        </w:tc>
        <w:tc>
          <w:tcPr>
            <w:tcW w:w="1309"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top w:val="nil"/>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top w:val="nil"/>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Лом черного металла, 12А, образовавшийся от списания холодильного агрегата ВСЭ-1600, заводской № 000975 в количестве 1 штуки</w:t>
            </w:r>
          </w:p>
        </w:tc>
        <w:tc>
          <w:tcPr>
            <w:tcW w:w="968"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95,7</w:t>
            </w:r>
          </w:p>
        </w:tc>
        <w:tc>
          <w:tcPr>
            <w:tcW w:w="2319" w:type="dxa"/>
            <w:tcBorders>
              <w:top w:val="nil"/>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лом металла</w:t>
            </w:r>
          </w:p>
        </w:tc>
        <w:tc>
          <w:tcPr>
            <w:tcW w:w="141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2001</w:t>
            </w:r>
          </w:p>
        </w:tc>
        <w:tc>
          <w:tcPr>
            <w:tcW w:w="1309"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Liberation Serif" w:hAnsi="Liberation Serif" w:cs="Times New Roman"/>
                <w:sz w:val="22"/>
                <w:szCs w:val="22"/>
              </w:rPr>
            </w:pPr>
            <w:r>
              <w:rPr>
                <w:rFonts w:cs="Times New Roman" w:ascii="Liberation Serif" w:hAnsi="Liberation Serif"/>
                <w:sz w:val="22"/>
                <w:szCs w:val="22"/>
              </w:rPr>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top w:val="nil"/>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top w:val="nil"/>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Масло фреоновое R-22, ОС0000019479</w:t>
            </w:r>
          </w:p>
        </w:tc>
        <w:tc>
          <w:tcPr>
            <w:tcW w:w="968"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17,0</w:t>
            </w:r>
          </w:p>
        </w:tc>
        <w:tc>
          <w:tcPr>
            <w:tcW w:w="2319" w:type="dxa"/>
            <w:tcBorders>
              <w:top w:val="nil"/>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новое</w:t>
            </w:r>
          </w:p>
        </w:tc>
        <w:tc>
          <w:tcPr>
            <w:tcW w:w="141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2002</w:t>
            </w:r>
          </w:p>
        </w:tc>
        <w:tc>
          <w:tcPr>
            <w:tcW w:w="130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0</w:t>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top w:val="nil"/>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top w:val="nil"/>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lang w:eastAsia="ru-RU"/>
              </w:rPr>
              <w:t>Масло фреоновое ХВ-12, ОС0000012193</w:t>
            </w:r>
          </w:p>
        </w:tc>
        <w:tc>
          <w:tcPr>
            <w:tcW w:w="968"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11,0</w:t>
            </w:r>
          </w:p>
        </w:tc>
        <w:tc>
          <w:tcPr>
            <w:tcW w:w="2319" w:type="dxa"/>
            <w:tcBorders>
              <w:top w:val="nil"/>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новое</w:t>
            </w:r>
          </w:p>
        </w:tc>
        <w:tc>
          <w:tcPr>
            <w:tcW w:w="141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2002</w:t>
            </w:r>
          </w:p>
        </w:tc>
        <w:tc>
          <w:tcPr>
            <w:tcW w:w="130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0</w:t>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r>
        <w:trPr/>
        <w:tc>
          <w:tcPr>
            <w:tcW w:w="534" w:type="dxa"/>
            <w:tcBorders>
              <w:top w:val="nil"/>
            </w:tcBorders>
            <w:shd w:fill="auto" w:val="clear"/>
          </w:tcPr>
          <w:p>
            <w:pPr>
              <w:pStyle w:val="ListParagraph"/>
              <w:numPr>
                <w:ilvl w:val="0"/>
                <w:numId w:val="2"/>
              </w:numPr>
              <w:tabs>
                <w:tab w:val="left" w:pos="993" w:leader="none"/>
              </w:tabs>
              <w:spacing w:lineRule="auto" w:line="240" w:before="0" w:after="0"/>
              <w:contextualSpacing/>
              <w:rPr>
                <w:rFonts w:ascii="Times New Roman" w:hAnsi="Times New Roman" w:cs="Times New Roman"/>
                <w:sz w:val="24"/>
                <w:szCs w:val="24"/>
              </w:rPr>
            </w:pPr>
            <w:r>
              <w:rPr>
                <w:rFonts w:cs="Times New Roman" w:ascii="Times New Roman" w:hAnsi="Times New Roman"/>
                <w:sz w:val="24"/>
                <w:szCs w:val="24"/>
              </w:rPr>
            </w:r>
          </w:p>
        </w:tc>
        <w:tc>
          <w:tcPr>
            <w:tcW w:w="3380" w:type="dxa"/>
            <w:tcBorders>
              <w:top w:val="nil"/>
            </w:tcBorders>
            <w:shd w:fill="auto" w:val="clear"/>
          </w:tcPr>
          <w:p>
            <w:pPr>
              <w:pStyle w:val="Normal"/>
              <w:spacing w:lineRule="auto" w:line="240" w:before="0" w:after="0"/>
              <w:rPr/>
            </w:pPr>
            <w:r>
              <w:rPr>
                <w:rFonts w:eastAsia="Times New Roman" w:cs="Liberation Serif;Times New Roman" w:ascii="Liberation Serif;Times New Roman" w:hAnsi="Liberation Serif;Times New Roman"/>
                <w:color w:val="000000"/>
                <w:sz w:val="24"/>
                <w:szCs w:val="24"/>
                <w:lang w:eastAsia="ru-RU"/>
              </w:rPr>
              <w:t>Масло фреоновое ХВ-22, ОС0000012192</w:t>
            </w:r>
          </w:p>
        </w:tc>
        <w:tc>
          <w:tcPr>
            <w:tcW w:w="968"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кг</w:t>
            </w:r>
          </w:p>
        </w:tc>
        <w:tc>
          <w:tcPr>
            <w:tcW w:w="844" w:type="dxa"/>
            <w:tcBorders>
              <w:top w:val="nil"/>
            </w:tcBorders>
            <w:shd w:fill="auto" w:val="clear"/>
          </w:tcPr>
          <w:p>
            <w:pPr>
              <w:pStyle w:val="Normal"/>
              <w:spacing w:lineRule="auto" w:line="240" w:before="0" w:after="0"/>
              <w:jc w:val="center"/>
              <w:rPr/>
            </w:pPr>
            <w:r>
              <w:rPr>
                <w:rFonts w:eastAsia="Times New Roman" w:cs="Times New Roman" w:ascii="Liberation Serif" w:hAnsi="Liberation Serif"/>
                <w:color w:val="000000"/>
                <w:sz w:val="22"/>
                <w:szCs w:val="22"/>
                <w:lang w:eastAsia="ru-RU"/>
              </w:rPr>
              <w:t>11,4</w:t>
            </w:r>
          </w:p>
        </w:tc>
        <w:tc>
          <w:tcPr>
            <w:tcW w:w="2319" w:type="dxa"/>
            <w:tcBorders>
              <w:top w:val="nil"/>
            </w:tcBorders>
            <w:shd w:fill="auto" w:val="clear"/>
          </w:tcPr>
          <w:p>
            <w:pPr>
              <w:pStyle w:val="Normal"/>
              <w:shd w:val="clear" w:fill="auto"/>
              <w:snapToGrid w:val="false"/>
              <w:spacing w:lineRule="auto" w:line="240" w:before="0" w:after="0"/>
              <w:ind w:left="0" w:right="0" w:hanging="0"/>
              <w:jc w:val="center"/>
              <w:rPr/>
            </w:pPr>
            <w:r>
              <w:rPr>
                <w:rFonts w:eastAsia="Times New Roman" w:cs="Times New Roman" w:ascii="Liberation Serif" w:hAnsi="Liberation Serif"/>
                <w:color w:val="000000"/>
                <w:sz w:val="22"/>
                <w:szCs w:val="22"/>
                <w:lang w:eastAsia="ru-RU"/>
              </w:rPr>
              <w:t>новое</w:t>
            </w:r>
          </w:p>
        </w:tc>
        <w:tc>
          <w:tcPr>
            <w:tcW w:w="141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2002</w:t>
            </w:r>
          </w:p>
        </w:tc>
        <w:tc>
          <w:tcPr>
            <w:tcW w:w="1309" w:type="dxa"/>
            <w:tcBorders>
              <w:top w:val="nil"/>
            </w:tcBorders>
            <w:shd w:fill="auto" w:val="clear"/>
          </w:tcPr>
          <w:p>
            <w:pPr>
              <w:pStyle w:val="ListParagraph"/>
              <w:tabs>
                <w:tab w:val="left" w:pos="993" w:leader="none"/>
              </w:tabs>
              <w:spacing w:lineRule="auto" w:line="240" w:before="0" w:after="0"/>
              <w:ind w:left="0" w:hanging="0"/>
              <w:contextualSpacing/>
              <w:jc w:val="center"/>
              <w:rPr/>
            </w:pPr>
            <w:r>
              <w:rPr>
                <w:rFonts w:cs="Times New Roman" w:ascii="Liberation Serif" w:hAnsi="Liberation Serif"/>
                <w:sz w:val="22"/>
                <w:szCs w:val="22"/>
              </w:rPr>
              <w:t>0</w:t>
            </w:r>
          </w:p>
        </w:tc>
        <w:tc>
          <w:tcPr>
            <w:tcW w:w="2616" w:type="dxa"/>
            <w:vMerge w:val="continue"/>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c>
          <w:tcPr>
            <w:tcW w:w="1453" w:type="dxa"/>
            <w:tcBorders>
              <w:top w:val="nil"/>
            </w:tcBorders>
            <w:shd w:fill="auto" w:val="clear"/>
          </w:tcPr>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Times New Roman" w:hAnsi="Times New Roman"/>
                <w:sz w:val="24"/>
                <w:szCs w:val="24"/>
              </w:rPr>
            </w:r>
          </w:p>
        </w:tc>
      </w:tr>
    </w:tbl>
    <w:p>
      <w:pPr>
        <w:pStyle w:val="ListParagraph"/>
        <w:tabs>
          <w:tab w:val="left" w:pos="993" w:leader="none"/>
        </w:tabs>
        <w:spacing w:lineRule="auto" w:line="240" w:before="0" w:after="0"/>
        <w:ind w:left="0" w:firstLine="709"/>
        <w:contextualSpacing/>
        <w:jc w:val="center"/>
        <w:rPr>
          <w:rFonts w:ascii="Times New Roman" w:hAnsi="Times New Roman" w:cs="Times New Roman"/>
          <w:sz w:val="24"/>
          <w:szCs w:val="24"/>
        </w:rPr>
      </w:pPr>
      <w:r>
        <w:rPr>
          <w:rFonts w:cs="Times New Roman" w:ascii="Times New Roman" w:hAnsi="Times New Roman"/>
          <w:sz w:val="24"/>
          <w:szCs w:val="24"/>
        </w:rPr>
      </w:r>
    </w:p>
    <w:tbl>
      <w:tblPr>
        <w:tblW w:w="14850" w:type="dxa"/>
        <w:jc w:val="left"/>
        <w:tblInd w:w="0" w:type="dxa"/>
        <w:tblBorders/>
        <w:tblCellMar>
          <w:top w:w="0" w:type="dxa"/>
          <w:left w:w="108" w:type="dxa"/>
          <w:bottom w:w="0" w:type="dxa"/>
          <w:right w:w="108" w:type="dxa"/>
        </w:tblCellMar>
        <w:tblLook w:val="01e0" w:noVBand="0" w:noHBand="0" w:lastColumn="1" w:firstColumn="1" w:lastRow="1" w:firstRow="1"/>
      </w:tblPr>
      <w:tblGrid>
        <w:gridCol w:w="7053"/>
        <w:gridCol w:w="7796"/>
      </w:tblGrid>
      <w:tr>
        <w:trPr>
          <w:trHeight w:val="629"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p>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7796" w:type="dxa"/>
            <w:tcBorders/>
            <w:shd w:fill="auto" w:val="clear"/>
          </w:tcPr>
          <w:p>
            <w:pPr>
              <w:pStyle w:val="Normal"/>
              <w:spacing w:before="0" w:after="200"/>
              <w:ind w:left="3011"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3011"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7796" w:type="dxa"/>
            <w:tcBorders/>
            <w:shd w:fill="auto" w:val="clear"/>
          </w:tcPr>
          <w:p>
            <w:pPr>
              <w:pStyle w:val="Normal"/>
              <w:spacing w:before="0" w:after="200"/>
              <w:ind w:left="3011"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3011" w:hanging="0"/>
              <w:contextualSpacing/>
              <w:rPr>
                <w:rFonts w:ascii="Times New Roman" w:hAnsi="Times New Roman" w:cs="Times New Roman"/>
                <w:b/>
                <w:b/>
                <w:sz w:val="24"/>
                <w:szCs w:val="24"/>
              </w:rPr>
            </w:pPr>
            <w:r>
              <w:rPr>
                <w:rFonts w:cs="Times New Roman" w:ascii="Times New Roman" w:hAnsi="Times New Roman"/>
                <w:b/>
                <w:sz w:val="24"/>
                <w:szCs w:val="24"/>
              </w:rPr>
              <w:t>____________________________</w:t>
            </w:r>
          </w:p>
        </w:tc>
      </w:tr>
      <w:tr>
        <w:trPr>
          <w:trHeight w:val="436"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«___» ______________ 201__ г.</w:t>
            </w:r>
          </w:p>
        </w:tc>
        <w:tc>
          <w:tcPr>
            <w:tcW w:w="7796" w:type="dxa"/>
            <w:tcBorders/>
            <w:shd w:fill="auto" w:val="clear"/>
          </w:tcPr>
          <w:p>
            <w:pPr>
              <w:pStyle w:val="Normal"/>
              <w:spacing w:before="0" w:after="200"/>
              <w:ind w:left="3011" w:hanging="0"/>
              <w:contextualSpacing/>
              <w:jc w:val="both"/>
              <w:rPr>
                <w:rFonts w:ascii="Times New Roman" w:hAnsi="Times New Roman" w:cs="Times New Roman"/>
                <w:b/>
                <w:b/>
                <w:sz w:val="24"/>
                <w:szCs w:val="24"/>
              </w:rPr>
            </w:pPr>
            <w:r>
              <w:rPr>
                <w:rFonts w:cs="Times New Roman" w:ascii="Times New Roman" w:hAnsi="Times New Roman"/>
                <w:b/>
                <w:sz w:val="24"/>
                <w:szCs w:val="24"/>
              </w:rPr>
              <w:t>«___» ______________ 201__ г.</w:t>
            </w:r>
          </w:p>
        </w:tc>
      </w:tr>
      <w:tr>
        <w:trPr>
          <w:trHeight w:val="436" w:hRule="atLeast"/>
        </w:trPr>
        <w:tc>
          <w:tcPr>
            <w:tcW w:w="7053" w:type="dxa"/>
            <w:tcBorders/>
            <w:shd w:fill="auto" w:val="clear"/>
          </w:tcPr>
          <w:p>
            <w:pPr>
              <w:pStyle w:val="Normal"/>
              <w:spacing w:before="0" w:after="200"/>
              <w:ind w:left="993"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7796" w:type="dxa"/>
            <w:tcBorders/>
            <w:shd w:fill="auto" w:val="clear"/>
          </w:tcPr>
          <w:p>
            <w:pPr>
              <w:pStyle w:val="Normal"/>
              <w:spacing w:before="0" w:after="200"/>
              <w:ind w:left="3011" w:hanging="0"/>
              <w:contextualSpacing/>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sectPr>
          <w:headerReference w:type="default" r:id="rId5"/>
          <w:footerReference w:type="default" r:id="rId6"/>
          <w:type w:val="nextPage"/>
          <w:pgSz w:orient="landscape" w:w="16838" w:h="11906"/>
          <w:pgMar w:left="1134" w:right="1134" w:header="0" w:top="1701" w:footer="709" w:bottom="851" w:gutter="0"/>
          <w:pgNumType w:fmt="decimal"/>
          <w:formProt w:val="false"/>
          <w:textDirection w:val="lrTb"/>
          <w:docGrid w:type="default" w:linePitch="360" w:charSpace="4096"/>
        </w:sectPr>
      </w:pPr>
    </w:p>
    <w:p>
      <w:pPr>
        <w:pStyle w:val="ListParagraph"/>
        <w:tabs>
          <w:tab w:val="left" w:pos="993" w:leader="none"/>
        </w:tabs>
        <w:spacing w:lineRule="auto" w:line="240" w:before="0" w:after="0"/>
        <w:ind w:left="5812" w:firstLine="709"/>
        <w:contextualSpacing/>
        <w:rPr>
          <w:rFonts w:ascii="Times New Roman" w:hAnsi="Times New Roman" w:cs="Times New Roman"/>
          <w:sz w:val="24"/>
          <w:szCs w:val="24"/>
        </w:rPr>
      </w:pPr>
      <w:r>
        <w:rPr>
          <w:rFonts w:cs="Times New Roman" w:ascii="Times New Roman" w:hAnsi="Times New Roman"/>
          <w:sz w:val="24"/>
          <w:szCs w:val="24"/>
        </w:rPr>
        <w:t xml:space="preserve">Приложение № 2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к Договору купли-продажи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 xml:space="preserve">высвобождаемого движимого военного имущества </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t>от «___»________20__ г.</w:t>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5812" w:hanging="0"/>
        <w:contextualSpacing/>
        <w:rPr>
          <w:rFonts w:ascii="Times New Roman" w:hAnsi="Times New Roman" w:cs="Times New Roman"/>
          <w:sz w:val="24"/>
          <w:szCs w:val="24"/>
        </w:rPr>
      </w:pPr>
      <w:r>
        <w:rPr>
          <w:rFonts w:cs="Times New Roman" w:ascii="Times New Roman" w:hAnsi="Times New Roman"/>
          <w:sz w:val="24"/>
          <w:szCs w:val="24"/>
        </w:rPr>
      </w:r>
    </w:p>
    <w:p>
      <w:pPr>
        <w:pStyle w:val="ListParagraph"/>
        <w:tabs>
          <w:tab w:val="left" w:pos="993" w:leader="none"/>
        </w:tabs>
        <w:spacing w:lineRule="auto" w:line="240" w:before="0" w:after="0"/>
        <w:ind w:left="0" w:hanging="0"/>
        <w:contextualSpacing/>
        <w:jc w:val="center"/>
        <w:rPr>
          <w:rFonts w:ascii="Times New Roman" w:hAnsi="Times New Roman" w:cs="Times New Roman"/>
          <w:sz w:val="24"/>
          <w:szCs w:val="24"/>
        </w:rPr>
      </w:pPr>
      <w:r>
        <w:rPr>
          <w:rFonts w:cs="Times New Roman" w:ascii="Liberation Serif" w:hAnsi="Liberation Serif"/>
          <w:sz w:val="28"/>
          <w:szCs w:val="28"/>
        </w:rPr>
        <w:t>Реквизиты для перечисления денежных средств</w:t>
      </w:r>
    </w:p>
    <w:p>
      <w:pPr>
        <w:pStyle w:val="ListParagraph"/>
        <w:tabs>
          <w:tab w:val="left" w:pos="993" w:leader="none"/>
        </w:tabs>
        <w:spacing w:lineRule="auto" w:line="240" w:before="0" w:after="0"/>
        <w:ind w:left="5812" w:hanging="0"/>
        <w:contextualSpacing/>
        <w:rPr>
          <w:rFonts w:ascii="Liberation Serif" w:hAnsi="Liberation Serif" w:cs="Times New Roman"/>
          <w:sz w:val="28"/>
          <w:szCs w:val="28"/>
        </w:rPr>
      </w:pPr>
      <w:r>
        <w:rPr>
          <w:rFonts w:cs="Times New Roman" w:ascii="Liberation Serif" w:hAnsi="Liberation Serif"/>
          <w:sz w:val="28"/>
          <w:szCs w:val="28"/>
        </w:rPr>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Liberation Serif" w:hAnsi="Liberation Serif"/>
          <w:sz w:val="28"/>
          <w:szCs w:val="28"/>
        </w:rPr>
        <w:t>получатель – УФК по г. Санкт-Петербургу (ФКУ «СЗЦМТО Рогвардии», л/с 04721</w:t>
      </w:r>
      <w:r>
        <w:rPr>
          <w:rFonts w:cs="Times New Roman" w:ascii="Liberation Serif" w:hAnsi="Liberation Serif"/>
          <w:sz w:val="28"/>
          <w:szCs w:val="28"/>
          <w:lang w:val="en-US"/>
        </w:rPr>
        <w:t>F</w:t>
      </w:r>
      <w:r>
        <w:rPr>
          <w:rFonts w:cs="Times New Roman" w:ascii="Liberation Serif" w:hAnsi="Liberation Serif"/>
          <w:sz w:val="28"/>
          <w:szCs w:val="28"/>
        </w:rPr>
        <w:t>91210)</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Liberation Serif" w:hAnsi="Liberation Serif"/>
          <w:sz w:val="28"/>
          <w:szCs w:val="28"/>
        </w:rPr>
        <w:t>ИНН – 7801330490, КПП – 780101001</w:t>
      </w:r>
    </w:p>
    <w:p>
      <w:pPr>
        <w:pStyle w:val="ListParagraph"/>
        <w:tabs>
          <w:tab w:val="left" w:pos="993" w:leader="none"/>
        </w:tabs>
        <w:spacing w:lineRule="auto" w:line="240" w:before="0" w:after="0"/>
        <w:ind w:left="0" w:firstLine="709"/>
        <w:contextualSpacing/>
        <w:jc w:val="both"/>
        <w:rPr>
          <w:rFonts w:ascii="Times New Roman" w:hAnsi="Times New Roman" w:cs="Times New Roman"/>
          <w:sz w:val="24"/>
          <w:szCs w:val="24"/>
        </w:rPr>
      </w:pPr>
      <w:r>
        <w:rPr>
          <w:rFonts w:cs="Times New Roman" w:ascii="Liberation Serif" w:hAnsi="Liberation Serif"/>
          <w:sz w:val="28"/>
          <w:szCs w:val="28"/>
        </w:rPr>
        <w:t>расчетный счет – 40101810200000010001 в Северо-Западном ГУ Банка России,</w:t>
      </w:r>
    </w:p>
    <w:p>
      <w:pPr>
        <w:pStyle w:val="Normal"/>
        <w:tabs>
          <w:tab w:val="left" w:pos="993" w:leader="none"/>
        </w:tabs>
        <w:spacing w:lineRule="auto" w:line="240" w:before="0" w:after="0"/>
        <w:contextualSpacing/>
        <w:jc w:val="both"/>
        <w:rPr>
          <w:rFonts w:ascii="Times New Roman" w:hAnsi="Times New Roman" w:cs="Times New Roman"/>
          <w:sz w:val="24"/>
          <w:szCs w:val="24"/>
        </w:rPr>
      </w:pPr>
      <w:bookmarkStart w:id="0" w:name="_GoBack"/>
      <w:bookmarkEnd w:id="0"/>
      <w:r>
        <w:rPr>
          <w:rFonts w:cs="Times New Roman" w:ascii="Liberation Serif" w:hAnsi="Liberation Serif"/>
          <w:sz w:val="28"/>
          <w:szCs w:val="28"/>
        </w:rPr>
        <w:t>г. Санкт-Петербург</w:t>
      </w:r>
    </w:p>
    <w:p>
      <w:pPr>
        <w:pStyle w:val="ListParagraph"/>
        <w:tabs>
          <w:tab w:val="left" w:pos="993" w:leader="none"/>
        </w:tabs>
        <w:spacing w:lineRule="auto" w:line="240" w:before="0" w:after="0"/>
        <w:ind w:left="0" w:firstLine="709"/>
        <w:contextualSpacing/>
        <w:rPr>
          <w:rFonts w:ascii="Liberation Serif" w:hAnsi="Liberation Serif"/>
          <w:sz w:val="28"/>
          <w:szCs w:val="28"/>
        </w:rPr>
      </w:pPr>
      <w:r>
        <w:rPr>
          <w:rFonts w:cs="Times New Roman" w:ascii="Liberation Serif" w:hAnsi="Liberation Serif"/>
          <w:sz w:val="28"/>
          <w:szCs w:val="28"/>
        </w:rPr>
        <w:t>БИК – 044030001.</w:t>
      </w:r>
    </w:p>
    <w:p>
      <w:pPr>
        <w:pStyle w:val="Style28"/>
        <w:tabs>
          <w:tab w:val="left" w:pos="993" w:leader="none"/>
        </w:tabs>
        <w:spacing w:lineRule="auto" w:line="240" w:before="0" w:after="0"/>
        <w:ind w:left="0" w:firstLine="709"/>
        <w:contextualSpacing/>
        <w:rPr>
          <w:rFonts w:ascii="Liberation Serif" w:hAnsi="Liberation Serif" w:cs="Times New Roman"/>
          <w:sz w:val="28"/>
          <w:szCs w:val="28"/>
        </w:rPr>
      </w:pPr>
      <w:r>
        <w:rPr>
          <w:rFonts w:cs="Times New Roman" w:ascii="Liberation Serif" w:hAnsi="Liberation Serif"/>
          <w:sz w:val="28"/>
          <w:szCs w:val="28"/>
        </w:rPr>
        <w:t>КБК – 18011402014017000440</w:t>
      </w:r>
    </w:p>
    <w:p>
      <w:pPr>
        <w:pStyle w:val="Style28"/>
        <w:tabs>
          <w:tab w:val="left" w:pos="993" w:leader="none"/>
        </w:tabs>
        <w:spacing w:lineRule="auto" w:line="240" w:before="0" w:after="0"/>
        <w:ind w:left="0" w:firstLine="709"/>
        <w:contextualSpacing/>
        <w:rPr>
          <w:rFonts w:ascii="Liberation Serif" w:hAnsi="Liberation Serif"/>
          <w:sz w:val="28"/>
          <w:szCs w:val="28"/>
        </w:rPr>
      </w:pPr>
      <w:r>
        <w:rPr>
          <w:rFonts w:cs="Times New Roman" w:ascii="Liberation Serif" w:hAnsi="Liberation Serif"/>
          <w:sz w:val="28"/>
          <w:szCs w:val="28"/>
        </w:rPr>
        <w:t>Назначение платежа – Поступления от реализации высвобождаемого движимого военного имущества по Договору купли-продажи от _____._____.2019г.  № ____.</w:t>
      </w:r>
    </w:p>
    <w:p>
      <w:pPr>
        <w:pStyle w:val="Style28"/>
        <w:tabs>
          <w:tab w:val="left" w:pos="993" w:leader="none"/>
        </w:tabs>
        <w:spacing w:lineRule="auto" w:line="240" w:before="0" w:after="0"/>
        <w:ind w:left="0" w:firstLine="709"/>
        <w:contextualSpacing/>
        <w:rPr>
          <w:rFonts w:ascii="Liberation Serif" w:hAnsi="Liberation Serif" w:cs="Times New Roman"/>
          <w:sz w:val="28"/>
          <w:szCs w:val="28"/>
        </w:rPr>
      </w:pPr>
      <w:r>
        <w:rPr>
          <w:rFonts w:cs="Times New Roman" w:ascii="Liberation Serif" w:hAnsi="Liberation Serif"/>
          <w:sz w:val="28"/>
          <w:szCs w:val="28"/>
        </w:rPr>
        <w:t>ОКТМО – 40307000</w:t>
      </w:r>
    </w:p>
    <w:p>
      <w:pPr>
        <w:pStyle w:val="ListParagraph"/>
        <w:tabs>
          <w:tab w:val="left" w:pos="993" w:leader="none"/>
        </w:tabs>
        <w:spacing w:lineRule="auto" w:line="240" w:before="0" w:after="0"/>
        <w:ind w:left="0" w:firstLine="709"/>
        <w:contextualSpacing/>
        <w:rPr>
          <w:rFonts w:ascii="Times New Roman" w:hAnsi="Times New Roman" w:cs="Times New Roman"/>
          <w:sz w:val="24"/>
          <w:szCs w:val="24"/>
        </w:rPr>
      </w:pPr>
      <w:r>
        <w:rPr>
          <w:rFonts w:cs="Times New Roman" w:ascii="Times New Roman" w:hAnsi="Times New Roman"/>
          <w:sz w:val="24"/>
          <w:szCs w:val="24"/>
        </w:rPr>
      </w:r>
    </w:p>
    <w:tbl>
      <w:tblPr>
        <w:tblW w:w="9570" w:type="dxa"/>
        <w:jc w:val="left"/>
        <w:tblInd w:w="0" w:type="dxa"/>
        <w:tblBorders/>
        <w:tblCellMar>
          <w:top w:w="0" w:type="dxa"/>
          <w:left w:w="108" w:type="dxa"/>
          <w:bottom w:w="0" w:type="dxa"/>
          <w:right w:w="108" w:type="dxa"/>
        </w:tblCellMar>
        <w:tblLook w:val="01e0" w:noVBand="0" w:noHBand="0" w:lastColumn="1" w:firstColumn="1" w:lastRow="1" w:firstRow="1"/>
      </w:tblPr>
      <w:tblGrid>
        <w:gridCol w:w="4815"/>
        <w:gridCol w:w="4754"/>
      </w:tblGrid>
      <w:tr>
        <w:trPr>
          <w:trHeight w:val="629"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sz w:val="24"/>
                <w:szCs w:val="24"/>
              </w:rPr>
            </w:pPr>
            <w:r>
              <w:rPr>
                <w:rFonts w:cs="Times New Roman" w:ascii="Times New Roman" w:hAnsi="Times New Roman"/>
                <w:sz w:val="24"/>
                <w:szCs w:val="24"/>
              </w:rPr>
              <w:t xml:space="preserve">                           </w:t>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«Продавец»</w:t>
            </w:r>
          </w:p>
        </w:tc>
        <w:tc>
          <w:tcPr>
            <w:tcW w:w="4754" w:type="dxa"/>
            <w:tcBorders/>
            <w:shd w:fill="auto" w:val="clear"/>
          </w:tcPr>
          <w:p>
            <w:pPr>
              <w:pStyle w:val="Normal"/>
              <w:spacing w:before="0" w:after="200"/>
              <w:ind w:left="284" w:hanging="0"/>
              <w:contextualSpacing/>
              <w:jc w:val="center"/>
              <w:rPr>
                <w:rFonts w:ascii="Times New Roman" w:hAnsi="Times New Roman" w:cs="Times New Roman"/>
                <w:sz w:val="24"/>
                <w:szCs w:val="24"/>
              </w:rPr>
            </w:pPr>
            <w:r>
              <w:rPr>
                <w:rFonts w:cs="Times New Roman" w:ascii="Times New Roman" w:hAnsi="Times New Roman"/>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«Покупатель»</w:t>
            </w:r>
          </w:p>
        </w:tc>
      </w:tr>
      <w:tr>
        <w:trPr>
          <w:trHeight w:val="697"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____________________________</w:t>
            </w:r>
          </w:p>
        </w:tc>
        <w:tc>
          <w:tcPr>
            <w:tcW w:w="4754" w:type="dxa"/>
            <w:tcBorders/>
            <w:shd w:fill="auto" w:val="clear"/>
          </w:tcPr>
          <w:p>
            <w:pPr>
              <w:pStyle w:val="Normal"/>
              <w:spacing w:before="0" w:after="200"/>
              <w:ind w:left="284" w:hanging="0"/>
              <w:contextualSpacing/>
              <w:jc w:val="center"/>
              <w:rPr>
                <w:rFonts w:ascii="Times New Roman" w:hAnsi="Times New Roman" w:cs="Times New Roman"/>
                <w:b/>
                <w:b/>
                <w:sz w:val="24"/>
                <w:szCs w:val="24"/>
              </w:rPr>
            </w:pPr>
            <w:r>
              <w:rPr>
                <w:rFonts w:cs="Times New Roman" w:ascii="Times New Roman" w:hAnsi="Times New Roman"/>
                <w:b/>
                <w:sz w:val="24"/>
                <w:szCs w:val="24"/>
              </w:rPr>
            </w:r>
          </w:p>
          <w:p>
            <w:pPr>
              <w:pStyle w:val="Normal"/>
              <w:spacing w:before="0" w:after="200"/>
              <w:ind w:left="284" w:hanging="0"/>
              <w:contextualSpacing/>
              <w:rPr>
                <w:rFonts w:ascii="Times New Roman" w:hAnsi="Times New Roman" w:cs="Times New Roman"/>
                <w:b/>
                <w:b/>
                <w:sz w:val="24"/>
                <w:szCs w:val="24"/>
              </w:rPr>
            </w:pPr>
            <w:r>
              <w:rPr>
                <w:rFonts w:cs="Times New Roman" w:ascii="Times New Roman" w:hAnsi="Times New Roman"/>
                <w:b/>
                <w:sz w:val="24"/>
                <w:szCs w:val="24"/>
              </w:rPr>
              <w:t>____________________________</w:t>
            </w:r>
          </w:p>
        </w:tc>
      </w:tr>
      <w:tr>
        <w:trPr>
          <w:trHeight w:val="436" w:hRule="atLeast"/>
        </w:trPr>
        <w:tc>
          <w:tcPr>
            <w:tcW w:w="4815" w:type="dxa"/>
            <w:tcBorders/>
            <w:shd w:fill="auto" w:val="clear"/>
          </w:tcPr>
          <w:p>
            <w:pPr>
              <w:pStyle w:val="Normal"/>
              <w:spacing w:before="0" w:after="200"/>
              <w:ind w:left="284" w:hanging="0"/>
              <w:contextualSpacing/>
              <w:jc w:val="both"/>
              <w:rPr>
                <w:rFonts w:ascii="Times New Roman" w:hAnsi="Times New Roman" w:cs="Times New Roman"/>
                <w:b/>
                <w:b/>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c>
          <w:tcPr>
            <w:tcW w:w="4754" w:type="dxa"/>
            <w:tcBorders/>
            <w:shd w:fill="auto" w:val="clear"/>
          </w:tcPr>
          <w:p>
            <w:pPr>
              <w:pStyle w:val="Normal"/>
              <w:spacing w:before="0" w:after="200"/>
              <w:ind w:left="284" w:hanging="0"/>
              <w:contextualSpacing/>
              <w:rPr>
                <w:rFonts w:ascii="Times New Roman" w:hAnsi="Times New Roman" w:cs="Times New Roman"/>
                <w:sz w:val="24"/>
                <w:szCs w:val="24"/>
              </w:rPr>
            </w:pPr>
            <w:r>
              <w:rPr>
                <w:rFonts w:cs="Times New Roman" w:ascii="Times New Roman" w:hAnsi="Times New Roman"/>
                <w:b/>
                <w:sz w:val="24"/>
                <w:szCs w:val="24"/>
              </w:rPr>
              <w:t xml:space="preserve">       </w:t>
            </w:r>
            <w:r>
              <w:rPr>
                <w:rFonts w:cs="Times New Roman" w:ascii="Times New Roman" w:hAnsi="Times New Roman"/>
                <w:b/>
                <w:sz w:val="24"/>
                <w:szCs w:val="24"/>
              </w:rPr>
              <w:t>МП</w:t>
            </w:r>
          </w:p>
        </w:tc>
      </w:tr>
    </w:tbl>
    <w:p>
      <w:pPr>
        <w:pStyle w:val="ListParagraph"/>
        <w:tabs>
          <w:tab w:val="left" w:pos="993" w:leader="none"/>
        </w:tabs>
        <w:spacing w:lineRule="auto" w:line="240" w:before="0" w:after="0"/>
        <w:ind w:left="0" w:hanging="0"/>
        <w:contextualSpacing/>
        <w:rPr/>
      </w:pPr>
      <w:r>
        <w:rPr/>
      </w:r>
    </w:p>
    <w:sectPr>
      <w:headerReference w:type="default" r:id="rId7"/>
      <w:footerReference w:type="default" r:id="rId8"/>
      <w:type w:val="nextPage"/>
      <w:pgSz w:w="11906" w:h="16838"/>
      <w:pgMar w:left="1701" w:right="851" w:header="0" w:top="1134" w:footer="709" w:bottom="1134"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Times New Roman">
    <w:charset w:val="01"/>
    <w:family w:val="roman"/>
    <w:pitch w:val="variable"/>
  </w:font>
  <w:font w:name="Tahoma">
    <w:charset w:val="01"/>
    <w:family w:val="roman"/>
    <w:pitch w:val="variable"/>
  </w:font>
  <w:font w:name="Liberation Sans">
    <w:altName w:val="Arial"/>
    <w:charset w:val="01"/>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1360235966"/>
    </w:sdtPr>
    <w:sdtContent>
      <w:p>
        <w:pPr>
          <w:pStyle w:val="Style24"/>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7</w:t>
        </w:r>
        <w:r>
          <w:rPr>
            <w:sz w:val="24"/>
            <w:szCs w:val="24"/>
            <w:rFonts w:cs="Times New Roman" w:ascii="Times New Roman" w:hAnsi="Times New Roman"/>
          </w:rPr>
          <w:fldChar w:fldCharType="end"/>
        </w:r>
      </w:p>
      <w:p>
        <w:pPr>
          <w:pStyle w:val="Style24"/>
          <w:rPr/>
        </w:pPr>
        <w:r>
          <w:rPr/>
        </w:r>
      </w:p>
    </w:sdtContent>
  </w:sdt>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386272385"/>
    </w:sdtPr>
    <w:sdtContent>
      <w:p>
        <w:pPr>
          <w:pStyle w:val="Style24"/>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9</w:t>
        </w:r>
        <w:r>
          <w:rPr>
            <w:sz w:val="24"/>
            <w:szCs w:val="24"/>
            <w:rFonts w:cs="Times New Roman" w:ascii="Times New Roman" w:hAnsi="Times New Roman"/>
          </w:rPr>
          <w:fldChar w:fldCharType="end"/>
        </w:r>
      </w:p>
      <w:p>
        <w:pPr>
          <w:pStyle w:val="Style24"/>
          <w:rPr/>
        </w:pPr>
        <w:r>
          <w:rPr/>
        </w:r>
      </w:p>
    </w:sdtContent>
  </w:sdt>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sdt>
    <w:sdtPr>
      <w:docPartObj>
        <w:docPartGallery w:val="Page Numbers (Bottom of Page)"/>
        <w:docPartUnique w:val="true"/>
      </w:docPartObj>
      <w:id w:val="51885644"/>
    </w:sdtPr>
    <w:sdtContent>
      <w:p>
        <w:pPr>
          <w:pStyle w:val="Style24"/>
          <w:jc w:val="center"/>
          <w:rPr/>
        </w:pPr>
        <w:r>
          <w:rPr>
            <w:rFonts w:cs="Times New Roman" w:ascii="Times New Roman" w:hAnsi="Times New Roman"/>
            <w:sz w:val="24"/>
            <w:szCs w:val="24"/>
          </w:rPr>
          <w:fldChar w:fldCharType="begin"/>
        </w:r>
        <w:r>
          <w:rPr>
            <w:sz w:val="24"/>
            <w:szCs w:val="24"/>
            <w:rFonts w:cs="Times New Roman" w:ascii="Times New Roman" w:hAnsi="Times New Roman"/>
          </w:rPr>
          <w:instrText> PAGE </w:instrText>
        </w:r>
        <w:r>
          <w:rPr>
            <w:sz w:val="24"/>
            <w:szCs w:val="24"/>
            <w:rFonts w:cs="Times New Roman" w:ascii="Times New Roman" w:hAnsi="Times New Roman"/>
          </w:rPr>
          <w:fldChar w:fldCharType="separate"/>
        </w:r>
        <w:r>
          <w:rPr>
            <w:sz w:val="24"/>
            <w:szCs w:val="24"/>
            <w:rFonts w:cs="Times New Roman" w:ascii="Times New Roman" w:hAnsi="Times New Roman"/>
          </w:rPr>
          <w:t>10</w:t>
        </w:r>
        <w:r>
          <w:rPr>
            <w:sz w:val="24"/>
            <w:szCs w:val="24"/>
            <w:rFonts w:cs="Times New Roman" w:ascii="Times New Roman" w:hAnsi="Times New Roman"/>
          </w:rPr>
          <w:fldChar w:fldCharType="end"/>
        </w:r>
      </w:p>
      <w:p>
        <w:pPr>
          <w:pStyle w:val="Style24"/>
          <w:rPr/>
        </w:pPr>
        <w:r>
          <w:rPr/>
        </w:r>
      </w:p>
    </w:sdtContent>
  </w:sdt>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p>
    <w:pPr>
      <w:pStyle w:val="Style23"/>
      <w:rPr/>
    </w:pPr>
    <w:r>
      <w:rPr/>
    </w:r>
  </w:p>
  <w:p>
    <w:pPr>
      <w:pStyle w:val="Style23"/>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p>
    <w:pPr>
      <w:pStyle w:val="Style23"/>
      <w:rPr/>
    </w:pPr>
    <w:r>
      <w:rPr/>
    </w:r>
  </w:p>
  <w:p>
    <w:pPr>
      <w:pStyle w:val="Style23"/>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23"/>
      <w:rPr/>
    </w:pPr>
    <w:r>
      <w:rPr/>
    </w:r>
  </w:p>
  <w:p>
    <w:pPr>
      <w:pStyle w:val="Style23"/>
      <w:rPr/>
    </w:pPr>
    <w:r>
      <w:rPr/>
    </w:r>
  </w:p>
  <w:p>
    <w:pPr>
      <w:pStyle w:val="Style23"/>
      <w:rPr/>
    </w:pPr>
    <w:r>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decimal"/>
      <w:lvlText w:val="%1."/>
      <w:lvlJc w:val="left"/>
      <w:pPr>
        <w:ind w:left="502" w:hanging="360"/>
      </w:pPr>
      <w:rPr>
        <w:sz w:val="24"/>
        <w:i w:val="false"/>
        <w:b/>
        <w:rFonts w:ascii="Times New Roman" w:hAnsi="Times New Roman"/>
      </w:rPr>
    </w:lvl>
    <w:lvl w:ilvl="1">
      <w:start w:val="1"/>
      <w:numFmt w:val="decimal"/>
      <w:lvlText w:val="%1.%2."/>
      <w:lvlJc w:val="left"/>
      <w:pPr>
        <w:ind w:left="1069" w:hanging="360"/>
      </w:pPr>
      <w:rPr>
        <w:sz w:val="24"/>
        <w:b w:val="false"/>
        <w:szCs w:val="24"/>
        <w:rFonts w:ascii="Times New Roman" w:hAnsi="Times New Roman" w:cs="Times New Roman"/>
      </w:rPr>
    </w:lvl>
    <w:lvl w:ilvl="2">
      <w:start w:val="1"/>
      <w:numFmt w:val="decimal"/>
      <w:lvlText w:val="%1.%2.%3."/>
      <w:lvlJc w:val="left"/>
      <w:pPr>
        <w:ind w:left="1778" w:hanging="720"/>
      </w:pPr>
    </w:lvl>
    <w:lvl w:ilvl="3">
      <w:start w:val="1"/>
      <w:numFmt w:val="decimal"/>
      <w:lvlText w:val="%1.%2.%3.%4."/>
      <w:lvlJc w:val="left"/>
      <w:pPr>
        <w:ind w:left="2127" w:hanging="720"/>
      </w:pPr>
    </w:lvl>
    <w:lvl w:ilvl="4">
      <w:start w:val="1"/>
      <w:numFmt w:val="decimal"/>
      <w:lvlText w:val="%1.%2.%3.%4.%5."/>
      <w:lvlJc w:val="left"/>
      <w:pPr>
        <w:ind w:left="2836" w:hanging="1080"/>
      </w:pPr>
    </w:lvl>
    <w:lvl w:ilvl="5">
      <w:start w:val="1"/>
      <w:numFmt w:val="decimal"/>
      <w:lvlText w:val="%1.%2.%3.%4.%5.%6."/>
      <w:lvlJc w:val="left"/>
      <w:pPr>
        <w:ind w:left="3185" w:hanging="1080"/>
      </w:pPr>
    </w:lvl>
    <w:lvl w:ilvl="6">
      <w:start w:val="1"/>
      <w:numFmt w:val="decimal"/>
      <w:lvlText w:val="%1.%2.%3.%4.%5.%6.%7."/>
      <w:lvlJc w:val="left"/>
      <w:pPr>
        <w:ind w:left="3894" w:hanging="1440"/>
      </w:pPr>
    </w:lvl>
    <w:lvl w:ilvl="7">
      <w:start w:val="1"/>
      <w:numFmt w:val="decimal"/>
      <w:lvlText w:val="%1.%2.%3.%4.%5.%6.%7.%8."/>
      <w:lvlJc w:val="left"/>
      <w:pPr>
        <w:ind w:left="4243" w:hanging="1440"/>
      </w:pPr>
    </w:lvl>
    <w:lvl w:ilvl="8">
      <w:start w:val="1"/>
      <w:numFmt w:val="decimal"/>
      <w:lvlText w:val="%1.%2.%3.%4.%5.%6.%7.%8.%9."/>
      <w:lvlJc w:val="left"/>
      <w:pPr>
        <w:ind w:left="4952" w:hanging="1800"/>
      </w:pPr>
    </w:lvl>
  </w:abstractNum>
  <w:abstractNum w:abstractNumId="2">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08"/>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ru-RU" w:eastAsia="en-US" w:bidi="ar-SA"/>
      </w:rPr>
    </w:rPrDefault>
    <w:pPrDefault>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Hyperlink" w:uiPriority="0"/>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pPr>
      <w:widowControl/>
      <w:bidi w:val="0"/>
      <w:spacing w:lineRule="auto" w:line="276" w:before="0" w:after="200"/>
      <w:jc w:val="left"/>
    </w:pPr>
    <w:rPr>
      <w:rFonts w:ascii="Calibri" w:hAnsi="Calibri" w:eastAsia="Calibri" w:cs="" w:asciiTheme="minorHAnsi" w:cstheme="minorBidi" w:eastAsiaTheme="minorHAnsi" w:hAnsiTheme="minorHAnsi"/>
      <w:color w:val="auto"/>
      <w:kern w:val="0"/>
      <w:sz w:val="22"/>
      <w:szCs w:val="22"/>
      <w:lang w:val="ru-RU" w:eastAsia="en-US" w:bidi="ar-SA"/>
    </w:rPr>
  </w:style>
  <w:style w:type="character" w:styleId="DefaultParagraphFont" w:default="1">
    <w:name w:val="Default Paragraph Font"/>
    <w:uiPriority w:val="1"/>
    <w:semiHidden/>
    <w:unhideWhenUsed/>
    <w:qFormat/>
    <w:rPr/>
  </w:style>
  <w:style w:type="character" w:styleId="4" w:customStyle="1">
    <w:name w:val="Основной текст (4)"/>
    <w:qFormat/>
    <w:rsid w:val="00fc38e4"/>
    <w:rPr>
      <w:rFonts w:ascii="Times New Roman" w:hAnsi="Times New Roman"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41" w:customStyle="1">
    <w:name w:val="Основной текст (4)_"/>
    <w:qFormat/>
    <w:rsid w:val="00f87fac"/>
    <w:rPr>
      <w:rFonts w:ascii="Times New Roman" w:hAnsi="Times New Roman" w:eastAsia="Times New Roman" w:cs="Times New Roman"/>
      <w:b w:val="false"/>
      <w:bCs w:val="false"/>
      <w:i w:val="false"/>
      <w:iCs w:val="false"/>
      <w:caps w:val="false"/>
      <w:smallCaps w:val="false"/>
      <w:strike w:val="false"/>
      <w:dstrike w:val="false"/>
      <w:u w:val="none"/>
    </w:rPr>
  </w:style>
  <w:style w:type="character" w:styleId="Style14">
    <w:name w:val="Интернет-ссылка"/>
    <w:rsid w:val="009b5591"/>
    <w:rPr>
      <w:rFonts w:cs="Times New Roman"/>
      <w:color w:val="0000FF"/>
      <w:u w:val="single"/>
    </w:rPr>
  </w:style>
  <w:style w:type="character" w:styleId="Style15" w:customStyle="1">
    <w:name w:val="Верхний колонтитул Знак"/>
    <w:basedOn w:val="DefaultParagraphFont"/>
    <w:link w:val="a6"/>
    <w:uiPriority w:val="99"/>
    <w:qFormat/>
    <w:rsid w:val="0022739d"/>
    <w:rPr/>
  </w:style>
  <w:style w:type="character" w:styleId="Style16" w:customStyle="1">
    <w:name w:val="Нижний колонтитул Знак"/>
    <w:basedOn w:val="DefaultParagraphFont"/>
    <w:link w:val="a8"/>
    <w:uiPriority w:val="99"/>
    <w:qFormat/>
    <w:rsid w:val="0022739d"/>
    <w:rPr/>
  </w:style>
  <w:style w:type="character" w:styleId="7" w:customStyle="1">
    <w:name w:val="Основной текст (7)_"/>
    <w:link w:val="70"/>
    <w:qFormat/>
    <w:rsid w:val="00516de4"/>
    <w:rPr>
      <w:rFonts w:ascii="Times New Roman" w:hAnsi="Times New Roman" w:eastAsia="Times New Roman" w:cs="Times New Roman"/>
      <w:shd w:fill="FFFFFF" w:val="clear"/>
    </w:rPr>
  </w:style>
  <w:style w:type="character" w:styleId="Style17" w:customStyle="1">
    <w:name w:val="Текст выноски Знак"/>
    <w:basedOn w:val="DefaultParagraphFont"/>
    <w:link w:val="aa"/>
    <w:uiPriority w:val="99"/>
    <w:semiHidden/>
    <w:qFormat/>
    <w:rsid w:val="004f220f"/>
    <w:rPr>
      <w:rFonts w:ascii="Tahoma" w:hAnsi="Tahoma" w:cs="Tahoma"/>
      <w:sz w:val="16"/>
      <w:szCs w:val="16"/>
    </w:rPr>
  </w:style>
  <w:style w:type="character" w:styleId="FontStyle12" w:customStyle="1">
    <w:name w:val="Font Style12"/>
    <w:uiPriority w:val="99"/>
    <w:qFormat/>
    <w:rsid w:val="005d4382"/>
    <w:rPr>
      <w:rFonts w:ascii="Times New Roman" w:hAnsi="Times New Roman" w:cs="Times New Roman"/>
      <w:sz w:val="22"/>
      <w:szCs w:val="22"/>
    </w:rPr>
  </w:style>
  <w:style w:type="character" w:styleId="ListLabel1">
    <w:name w:val="ListLabel 1"/>
    <w:qFormat/>
    <w:rPr>
      <w:rFonts w:eastAsia="Times New Roman"/>
      <w:b/>
      <w:color w:val="000000"/>
    </w:rPr>
  </w:style>
  <w:style w:type="character" w:styleId="ListLabel2">
    <w:name w:val="ListLabel 2"/>
    <w:qFormat/>
    <w:rPr>
      <w:rFonts w:ascii="Times New Roman" w:hAnsi="Times New Roman"/>
      <w:b/>
      <w:i w:val="false"/>
      <w:sz w:val="24"/>
    </w:rPr>
  </w:style>
  <w:style w:type="character" w:styleId="ListLabel3">
    <w:name w:val="ListLabel 3"/>
    <w:qFormat/>
    <w:rPr>
      <w:rFonts w:ascii="Times New Roman" w:hAnsi="Times New Roman" w:cs="Times New Roman"/>
      <w:b w:val="false"/>
      <w:sz w:val="24"/>
      <w:szCs w:val="24"/>
    </w:rPr>
  </w:style>
  <w:style w:type="character" w:styleId="ListLabel4">
    <w:name w:val="ListLabel 4"/>
    <w:qFormat/>
    <w:rPr>
      <w:rFonts w:eastAsia="Times New Roman" w:cs="Times New Roman"/>
      <w:b/>
      <w:bCs/>
      <w:i w:val="false"/>
      <w:iCs w:val="false"/>
      <w:caps w:val="false"/>
      <w:smallCaps w:val="false"/>
      <w:strike w:val="false"/>
      <w:dstrike w:val="false"/>
      <w:color w:val="000000"/>
      <w:spacing w:val="0"/>
      <w:w w:val="100"/>
      <w:sz w:val="24"/>
      <w:szCs w:val="24"/>
      <w:u w:val="none"/>
      <w:lang w:val="ru-RU" w:eastAsia="ru-RU" w:bidi="ru-RU"/>
    </w:rPr>
  </w:style>
  <w:style w:type="character" w:styleId="ListLabel5">
    <w:name w:val="ListLabel 5"/>
    <w:qFormat/>
    <w:rPr>
      <w:rFonts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ListLabel6">
    <w:name w:val="ListLabel 6"/>
    <w:qFormat/>
    <w:rPr>
      <w:rFonts w:eastAsia="Times New Roman" w:cs="Times New Roman"/>
      <w:b/>
      <w:bCs/>
      <w:i w:val="false"/>
      <w:iCs w:val="false"/>
      <w:caps w:val="false"/>
      <w:smallCaps w:val="false"/>
      <w:strike w:val="false"/>
      <w:dstrike w:val="false"/>
      <w:color w:val="000000"/>
      <w:spacing w:val="0"/>
      <w:w w:val="100"/>
      <w:sz w:val="24"/>
      <w:szCs w:val="24"/>
      <w:u w:val="none"/>
      <w:lang w:val="ru-RU" w:eastAsia="ru-RU" w:bidi="ru-RU"/>
    </w:rPr>
  </w:style>
  <w:style w:type="character" w:styleId="ListLabel7">
    <w:name w:val="ListLabel 7"/>
    <w:qFormat/>
    <w:rPr>
      <w:rFonts w:eastAsia="Times New Roman" w:cs="Times New Roman"/>
      <w:b w:val="false"/>
      <w:bCs w:val="false"/>
      <w:i w:val="false"/>
      <w:iCs w:val="false"/>
      <w:caps w:val="false"/>
      <w:smallCaps w:val="false"/>
      <w:strike w:val="false"/>
      <w:dstrike w:val="false"/>
      <w:color w:val="000000"/>
      <w:spacing w:val="0"/>
      <w:w w:val="100"/>
      <w:sz w:val="24"/>
      <w:szCs w:val="24"/>
      <w:u w:val="none"/>
      <w:lang w:val="ru-RU" w:eastAsia="ru-RU" w:bidi="ru-RU"/>
    </w:rPr>
  </w:style>
  <w:style w:type="character" w:styleId="ListLabel8">
    <w:name w:val="ListLabel 8"/>
    <w:qFormat/>
    <w:rPr>
      <w:rFonts w:ascii="Times New Roman" w:hAnsi="Times New Roman"/>
      <w:sz w:val="24"/>
      <w:szCs w:val="24"/>
    </w:rPr>
  </w:style>
  <w:style w:type="character" w:styleId="ListLabel9">
    <w:name w:val="ListLabel 9"/>
    <w:qFormat/>
    <w:rPr>
      <w:rFonts w:ascii="Times New Roman" w:hAnsi="Times New Roman"/>
      <w:b/>
      <w:i w:val="false"/>
      <w:sz w:val="24"/>
    </w:rPr>
  </w:style>
  <w:style w:type="character" w:styleId="ListLabel10">
    <w:name w:val="ListLabel 10"/>
    <w:qFormat/>
    <w:rPr>
      <w:rFonts w:ascii="Times New Roman" w:hAnsi="Times New Roman" w:cs="Times New Roman"/>
      <w:b w:val="false"/>
      <w:sz w:val="24"/>
      <w:szCs w:val="24"/>
    </w:rPr>
  </w:style>
  <w:style w:type="character" w:styleId="ListLabel11">
    <w:name w:val="ListLabel 11"/>
    <w:qFormat/>
    <w:rPr>
      <w:rFonts w:ascii="Times New Roman" w:hAnsi="Times New Roman"/>
      <w:sz w:val="24"/>
      <w:szCs w:val="24"/>
    </w:rPr>
  </w:style>
  <w:style w:type="character" w:styleId="ListLabel12">
    <w:name w:val="ListLabel 12"/>
    <w:qFormat/>
    <w:rPr>
      <w:rFonts w:ascii="Times New Roman" w:hAnsi="Times New Roman"/>
      <w:b/>
      <w:i w:val="false"/>
      <w:sz w:val="24"/>
    </w:rPr>
  </w:style>
  <w:style w:type="character" w:styleId="ListLabel13">
    <w:name w:val="ListLabel 13"/>
    <w:qFormat/>
    <w:rPr>
      <w:rFonts w:ascii="Times New Roman" w:hAnsi="Times New Roman" w:cs="Times New Roman"/>
      <w:b w:val="false"/>
      <w:sz w:val="24"/>
      <w:szCs w:val="24"/>
    </w:rPr>
  </w:style>
  <w:style w:type="character" w:styleId="ListLabel14">
    <w:name w:val="ListLabel 14"/>
    <w:qFormat/>
    <w:rPr>
      <w:rFonts w:ascii="Times New Roman" w:hAnsi="Times New Roman"/>
      <w:sz w:val="24"/>
      <w:szCs w:val="24"/>
    </w:rPr>
  </w:style>
  <w:style w:type="character" w:styleId="ListLabel15">
    <w:name w:val="ListLabel 15"/>
    <w:qFormat/>
    <w:rPr>
      <w:rFonts w:ascii="Times New Roman" w:hAnsi="Times New Roman"/>
      <w:b/>
      <w:i w:val="false"/>
      <w:sz w:val="24"/>
    </w:rPr>
  </w:style>
  <w:style w:type="character" w:styleId="ListLabel16">
    <w:name w:val="ListLabel 16"/>
    <w:qFormat/>
    <w:rPr>
      <w:rFonts w:ascii="Times New Roman" w:hAnsi="Times New Roman" w:cs="Times New Roman"/>
      <w:b w:val="false"/>
      <w:sz w:val="24"/>
      <w:szCs w:val="24"/>
    </w:rPr>
  </w:style>
  <w:style w:type="character" w:styleId="ListLabel17">
    <w:name w:val="ListLabel 17"/>
    <w:qFormat/>
    <w:rPr>
      <w:rFonts w:ascii="Times New Roman" w:hAnsi="Times New Roman"/>
      <w:sz w:val="24"/>
      <w:szCs w:val="24"/>
    </w:rPr>
  </w:style>
  <w:style w:type="character" w:styleId="ListLabel18">
    <w:name w:val="ListLabel 18"/>
    <w:qFormat/>
    <w:rPr>
      <w:rFonts w:ascii="Times New Roman" w:hAnsi="Times New Roman"/>
      <w:b/>
      <w:i w:val="false"/>
      <w:sz w:val="24"/>
    </w:rPr>
  </w:style>
  <w:style w:type="character" w:styleId="ListLabel19">
    <w:name w:val="ListLabel 19"/>
    <w:qFormat/>
    <w:rPr>
      <w:rFonts w:ascii="Times New Roman" w:hAnsi="Times New Roman" w:cs="Times New Roman"/>
      <w:b w:val="false"/>
      <w:sz w:val="24"/>
      <w:szCs w:val="24"/>
    </w:rPr>
  </w:style>
  <w:style w:type="character" w:styleId="ListLabel20">
    <w:name w:val="ListLabel 20"/>
    <w:qFormat/>
    <w:rPr>
      <w:rFonts w:ascii="Times New Roman" w:hAnsi="Times New Roman"/>
      <w:sz w:val="24"/>
      <w:szCs w:val="24"/>
    </w:rPr>
  </w:style>
  <w:style w:type="character" w:styleId="ListLabel21">
    <w:name w:val="ListLabel 21"/>
    <w:qFormat/>
    <w:rPr>
      <w:rFonts w:ascii="Times New Roman" w:hAnsi="Times New Roman"/>
      <w:b/>
      <w:i w:val="false"/>
      <w:sz w:val="24"/>
    </w:rPr>
  </w:style>
  <w:style w:type="character" w:styleId="ListLabel22">
    <w:name w:val="ListLabel 22"/>
    <w:qFormat/>
    <w:rPr>
      <w:rFonts w:ascii="Times New Roman" w:hAnsi="Times New Roman" w:cs="Times New Roman"/>
      <w:b w:val="false"/>
      <w:sz w:val="24"/>
      <w:szCs w:val="24"/>
    </w:rPr>
  </w:style>
  <w:style w:type="character" w:styleId="ListLabel23">
    <w:name w:val="ListLabel 23"/>
    <w:qFormat/>
    <w:rPr>
      <w:rFonts w:ascii="Times New Roman" w:hAnsi="Times New Roman"/>
      <w:sz w:val="24"/>
      <w:szCs w:val="24"/>
    </w:rPr>
  </w:style>
  <w:style w:type="character" w:styleId="ListLabel24">
    <w:name w:val="ListLabel 24"/>
    <w:qFormat/>
    <w:rPr>
      <w:rFonts w:ascii="Times New Roman" w:hAnsi="Times New Roman"/>
      <w:b/>
      <w:i w:val="false"/>
      <w:sz w:val="24"/>
    </w:rPr>
  </w:style>
  <w:style w:type="character" w:styleId="ListLabel25">
    <w:name w:val="ListLabel 25"/>
    <w:qFormat/>
    <w:rPr>
      <w:rFonts w:ascii="Times New Roman" w:hAnsi="Times New Roman" w:cs="Times New Roman"/>
      <w:b w:val="false"/>
      <w:sz w:val="24"/>
      <w:szCs w:val="24"/>
    </w:rPr>
  </w:style>
  <w:style w:type="character" w:styleId="ListLabel26">
    <w:name w:val="ListLabel 26"/>
    <w:qFormat/>
    <w:rPr>
      <w:rFonts w:ascii="Times New Roman" w:hAnsi="Times New Roman"/>
      <w:sz w:val="28"/>
      <w:szCs w:val="28"/>
    </w:rPr>
  </w:style>
  <w:style w:type="character" w:styleId="ListLabel27">
    <w:name w:val="ListLabel 27"/>
    <w:qFormat/>
    <w:rPr>
      <w:rFonts w:ascii="Times New Roman" w:hAnsi="Times New Roman"/>
      <w:b/>
      <w:i w:val="false"/>
      <w:sz w:val="24"/>
    </w:rPr>
  </w:style>
  <w:style w:type="character" w:styleId="ListLabel28">
    <w:name w:val="ListLabel 28"/>
    <w:qFormat/>
    <w:rPr>
      <w:rFonts w:ascii="Times New Roman" w:hAnsi="Times New Roman" w:cs="Times New Roman"/>
      <w:b w:val="false"/>
      <w:sz w:val="24"/>
      <w:szCs w:val="24"/>
    </w:rPr>
  </w:style>
  <w:style w:type="character" w:styleId="ListLabel29">
    <w:name w:val="ListLabel 29"/>
    <w:qFormat/>
    <w:rPr>
      <w:rFonts w:ascii="Times New Roman" w:hAnsi="Times New Roman"/>
      <w:sz w:val="28"/>
      <w:szCs w:val="28"/>
    </w:rPr>
  </w:style>
  <w:style w:type="character" w:styleId="ListLabel30">
    <w:name w:val="ListLabel 30"/>
    <w:qFormat/>
    <w:rPr>
      <w:rFonts w:ascii="Times New Roman" w:hAnsi="Times New Roman"/>
      <w:b/>
      <w:i w:val="false"/>
      <w:sz w:val="24"/>
    </w:rPr>
  </w:style>
  <w:style w:type="character" w:styleId="ListLabel31">
    <w:name w:val="ListLabel 31"/>
    <w:qFormat/>
    <w:rPr>
      <w:rFonts w:ascii="Times New Roman" w:hAnsi="Times New Roman" w:cs="Times New Roman"/>
      <w:b w:val="false"/>
      <w:sz w:val="24"/>
      <w:szCs w:val="24"/>
    </w:rPr>
  </w:style>
  <w:style w:type="character" w:styleId="ListLabel32">
    <w:name w:val="ListLabel 32"/>
    <w:qFormat/>
    <w:rPr>
      <w:rFonts w:ascii="Times New Roman" w:hAnsi="Times New Roman"/>
      <w:sz w:val="28"/>
      <w:szCs w:val="28"/>
    </w:rPr>
  </w:style>
  <w:style w:type="character" w:styleId="ListLabel33">
    <w:name w:val="ListLabel 33"/>
    <w:qFormat/>
    <w:rPr>
      <w:rFonts w:ascii="Times New Roman" w:hAnsi="Times New Roman"/>
      <w:b/>
      <w:i w:val="false"/>
      <w:sz w:val="24"/>
    </w:rPr>
  </w:style>
  <w:style w:type="character" w:styleId="ListLabel34">
    <w:name w:val="ListLabel 34"/>
    <w:qFormat/>
    <w:rPr>
      <w:rFonts w:ascii="Times New Roman" w:hAnsi="Times New Roman" w:cs="Times New Roman"/>
      <w:b w:val="false"/>
      <w:sz w:val="24"/>
      <w:szCs w:val="24"/>
    </w:rPr>
  </w:style>
  <w:style w:type="character" w:styleId="ListLabel35">
    <w:name w:val="ListLabel 35"/>
    <w:qFormat/>
    <w:rPr>
      <w:rFonts w:ascii="Times New Roman" w:hAnsi="Times New Roman"/>
      <w:sz w:val="28"/>
      <w:szCs w:val="28"/>
    </w:rPr>
  </w:style>
  <w:style w:type="paragraph" w:styleId="Style18">
    <w:name w:val="Заголовок"/>
    <w:basedOn w:val="Normal"/>
    <w:next w:val="Style19"/>
    <w:qFormat/>
    <w:pPr>
      <w:keepNext w:val="true"/>
      <w:spacing w:before="240" w:after="120"/>
    </w:pPr>
    <w:rPr>
      <w:rFonts w:ascii="Liberation Sans" w:hAnsi="Liberation Sans" w:eastAsia="Tahoma" w:cs="Noto Sans Devanagari"/>
      <w:sz w:val="28"/>
      <w:szCs w:val="28"/>
    </w:rPr>
  </w:style>
  <w:style w:type="paragraph" w:styleId="Style19">
    <w:name w:val="Body Text"/>
    <w:basedOn w:val="Normal"/>
    <w:pPr>
      <w:spacing w:lineRule="auto" w:line="276" w:before="0" w:after="140"/>
    </w:pPr>
    <w:rPr/>
  </w:style>
  <w:style w:type="paragraph" w:styleId="Style20">
    <w:name w:val="List"/>
    <w:basedOn w:val="Style19"/>
    <w:pPr/>
    <w:rPr>
      <w:rFonts w:cs="Noto Sans Devanagari"/>
    </w:rPr>
  </w:style>
  <w:style w:type="paragraph" w:styleId="Style21">
    <w:name w:val="Caption"/>
    <w:basedOn w:val="Normal"/>
    <w:qFormat/>
    <w:pPr>
      <w:suppressLineNumbers/>
      <w:spacing w:before="120" w:after="120"/>
    </w:pPr>
    <w:rPr>
      <w:rFonts w:cs="Noto Sans Devanagari"/>
      <w:i/>
      <w:iCs/>
      <w:sz w:val="24"/>
      <w:szCs w:val="24"/>
    </w:rPr>
  </w:style>
  <w:style w:type="paragraph" w:styleId="Style22">
    <w:name w:val="Указатель"/>
    <w:basedOn w:val="Normal"/>
    <w:qFormat/>
    <w:pPr>
      <w:suppressLineNumbers/>
    </w:pPr>
    <w:rPr>
      <w:rFonts w:cs="Noto Sans Devanagari"/>
    </w:rPr>
  </w:style>
  <w:style w:type="paragraph" w:styleId="ListParagraph">
    <w:name w:val="List Paragraph"/>
    <w:basedOn w:val="Normal"/>
    <w:uiPriority w:val="34"/>
    <w:qFormat/>
    <w:rsid w:val="00bb62da"/>
    <w:pPr>
      <w:spacing w:before="0" w:after="200"/>
      <w:ind w:left="720" w:hanging="0"/>
      <w:contextualSpacing/>
    </w:pPr>
    <w:rPr/>
  </w:style>
  <w:style w:type="paragraph" w:styleId="Style23">
    <w:name w:val="Header"/>
    <w:basedOn w:val="Normal"/>
    <w:link w:val="a7"/>
    <w:uiPriority w:val="99"/>
    <w:unhideWhenUsed/>
    <w:rsid w:val="0022739d"/>
    <w:pPr>
      <w:tabs>
        <w:tab w:val="center" w:pos="4677" w:leader="none"/>
        <w:tab w:val="right" w:pos="9355" w:leader="none"/>
      </w:tabs>
      <w:spacing w:lineRule="auto" w:line="240" w:before="0" w:after="0"/>
    </w:pPr>
    <w:rPr/>
  </w:style>
  <w:style w:type="paragraph" w:styleId="Style24">
    <w:name w:val="Footer"/>
    <w:basedOn w:val="Normal"/>
    <w:link w:val="a9"/>
    <w:uiPriority w:val="99"/>
    <w:unhideWhenUsed/>
    <w:rsid w:val="0022739d"/>
    <w:pPr>
      <w:tabs>
        <w:tab w:val="center" w:pos="4677" w:leader="none"/>
        <w:tab w:val="right" w:pos="9355" w:leader="none"/>
      </w:tabs>
      <w:spacing w:lineRule="auto" w:line="240" w:before="0" w:after="0"/>
    </w:pPr>
    <w:rPr/>
  </w:style>
  <w:style w:type="paragraph" w:styleId="71" w:customStyle="1">
    <w:name w:val="Основной текст (7)"/>
    <w:basedOn w:val="Normal"/>
    <w:link w:val="7"/>
    <w:qFormat/>
    <w:rsid w:val="00516de4"/>
    <w:pPr>
      <w:widowControl w:val="false"/>
      <w:shd w:val="clear" w:color="auto" w:fill="FFFFFF"/>
      <w:spacing w:lineRule="exact" w:line="270" w:before="0" w:after="240"/>
      <w:ind w:hanging="1760"/>
      <w:jc w:val="both"/>
    </w:pPr>
    <w:rPr>
      <w:rFonts w:ascii="Times New Roman" w:hAnsi="Times New Roman" w:eastAsia="Times New Roman" w:cs="Times New Roman"/>
    </w:rPr>
  </w:style>
  <w:style w:type="paragraph" w:styleId="BalloonText">
    <w:name w:val="Balloon Text"/>
    <w:basedOn w:val="Normal"/>
    <w:link w:val="ab"/>
    <w:uiPriority w:val="99"/>
    <w:semiHidden/>
    <w:unhideWhenUsed/>
    <w:qFormat/>
    <w:rsid w:val="004f220f"/>
    <w:pPr>
      <w:spacing w:lineRule="auto" w:line="240" w:before="0" w:after="0"/>
    </w:pPr>
    <w:rPr>
      <w:rFonts w:ascii="Tahoma" w:hAnsi="Tahoma" w:cs="Tahoma"/>
      <w:sz w:val="16"/>
      <w:szCs w:val="16"/>
    </w:rPr>
  </w:style>
  <w:style w:type="paragraph" w:styleId="Style25" w:customStyle="1">
    <w:name w:val="Style2"/>
    <w:basedOn w:val="Normal"/>
    <w:uiPriority w:val="99"/>
    <w:qFormat/>
    <w:rsid w:val="005d4382"/>
    <w:pPr>
      <w:widowControl w:val="false"/>
      <w:spacing w:lineRule="exact" w:line="274" w:before="0" w:after="0"/>
      <w:ind w:firstLine="686"/>
      <w:jc w:val="both"/>
    </w:pPr>
    <w:rPr>
      <w:rFonts w:ascii="Times New Roman" w:hAnsi="Times New Roman" w:eastAsia="Times New Roman" w:cs="Times New Roman"/>
      <w:sz w:val="24"/>
      <w:szCs w:val="24"/>
      <w:lang w:eastAsia="ru-RU"/>
    </w:rPr>
  </w:style>
  <w:style w:type="paragraph" w:styleId="Style26">
    <w:name w:val="Содержимое таблицы"/>
    <w:basedOn w:val="Normal"/>
    <w:qFormat/>
    <w:pPr>
      <w:suppressLineNumbers/>
    </w:pPr>
    <w:rPr/>
  </w:style>
  <w:style w:type="paragraph" w:styleId="Style27">
    <w:name w:val="Заголовок таблицы"/>
    <w:basedOn w:val="Style26"/>
    <w:qFormat/>
    <w:pPr>
      <w:suppressLineNumbers/>
      <w:jc w:val="center"/>
    </w:pPr>
    <w:rPr>
      <w:b/>
      <w:bCs/>
    </w:rPr>
  </w:style>
  <w:style w:type="paragraph" w:styleId="Style28">
    <w:name w:val="Абзац списка"/>
    <w:basedOn w:val="Normal"/>
    <w:qFormat/>
    <w:pPr>
      <w:spacing w:before="0" w:after="200"/>
      <w:ind w:left="720" w:hanging="0"/>
      <w:contextualSpacing/>
    </w:pPr>
    <w:rPr/>
  </w:style>
  <w:style w:type="numbering" w:styleId="NoList" w:default="1">
    <w:name w:val="No List"/>
    <w:uiPriority w:val="99"/>
    <w:semiHidden/>
    <w:unhideWhenUsed/>
    <w:qFormat/>
  </w:style>
  <w:style w:type="table" w:default="1" w:styleId="a1">
    <w:name w:val="Normal Table"/>
    <w:uiPriority w:val="99"/>
    <w:semiHidden/>
    <w:unhideWhenUsed/>
    <w:tblPr>
      <w:tblInd w:w="0" w:type="dxa"/>
      <w:tblCellMar>
        <w:top w:w="0" w:type="dxa"/>
        <w:left w:w="108" w:type="dxa"/>
        <w:bottom w:w="0" w:type="dxa"/>
        <w:right w:w="108" w:type="dxa"/>
      </w:tblCellMar>
    </w:tblPr>
  </w:style>
  <w:style w:type="table" w:styleId="a5">
    <w:name w:val="Table Grid"/>
    <w:basedOn w:val="a1"/>
    <w:uiPriority w:val="59"/>
    <w:rsid w:val="004b5b75"/>
    <w:pPr>
      <w:spacing w:after="0" w:line="240" w:lineRule="auto"/>
    </w:pPr>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rosgvard.gz@mail.ru" TargetMode="External"/><Relationship Id="rId3" Type="http://schemas.openxmlformats.org/officeDocument/2006/relationships/header" Target="header1.xml"/><Relationship Id="rId4" Type="http://schemas.openxmlformats.org/officeDocument/2006/relationships/footer" Target="footer1.xml"/><Relationship Id="rId5" Type="http://schemas.openxmlformats.org/officeDocument/2006/relationships/header" Target="header2.xml"/><Relationship Id="rId6" Type="http://schemas.openxmlformats.org/officeDocument/2006/relationships/footer" Target="footer2.xml"/><Relationship Id="rId7" Type="http://schemas.openxmlformats.org/officeDocument/2006/relationships/header" Target="header3.xml"/><Relationship Id="rId8" Type="http://schemas.openxmlformats.org/officeDocument/2006/relationships/footer" Target="footer3.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672</TotalTime>
  <Application>LibreOffice/6.0.5.2$Linux_X86_64 LibreOffice_project/00m0$Build-2</Application>
  <Pages>10</Pages>
  <Words>2288</Words>
  <Characters>15886</Characters>
  <CharactersWithSpaces>18145</CharactersWithSpaces>
  <Paragraphs>211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2018-12-18T07:48:00Z</dcterms:created>
  <dc:creator>Бычков Юрий Александрович</dc:creator>
  <dc:description/>
  <dc:language>ru-RU</dc:language>
  <cp:lastModifiedBy/>
  <cp:lastPrinted>2019-12-05T16:42:19Z</cp:lastPrinted>
  <dcterms:modified xsi:type="dcterms:W3CDTF">2019-12-27T09:54:40Z</dcterms:modified>
  <cp:revision>26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