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header1.xml" ContentType="application/vnd.openxmlformats-officedocument.wordprocessingml.header+xml"/>
  <Override PartName="/word/document.xml" ContentType="application/vnd.openxmlformats-officedocument.wordprocessingml.document.main+xml"/>
  <Override PartName="/word/numbering.xml" ContentType="application/vnd.openxmlformats-officedocument.wordprocessingml.numbering+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Информационное сообщение № 3</w:t>
      </w:r>
      <w:r>
        <w:rPr>
          <w:rFonts w:cs="Times New Roman" w:ascii="Times New Roman" w:hAnsi="Times New Roman"/>
          <w:sz w:val="28"/>
          <w:szCs w:val="28"/>
          <w:u w:val="single"/>
        </w:rPr>
        <w:t>-абт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857"/>
        <w:gridCol w:w="5387"/>
      </w:tblGrid>
      <w:tr>
        <w:trPr>
          <w:tblHeader w:val="true"/>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57"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387"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09.11.2018 г. №1/674-Р.</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387"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без объявления цены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rHeight w:val="607" w:hRule="atLeast"/>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Начальная цена продажи имущества</w:t>
            </w:r>
          </w:p>
        </w:tc>
        <w:tc>
          <w:tcPr>
            <w:tcW w:w="5387" w:type="dxa"/>
            <w:tcBorders/>
            <w:shd w:fill="auto" w:val="clear"/>
          </w:tcPr>
          <w:p>
            <w:pPr>
              <w:pStyle w:val="Normal"/>
              <w:spacing w:lineRule="auto" w:line="240" w:before="0" w:after="0"/>
              <w:ind w:firstLine="318"/>
              <w:jc w:val="both"/>
              <w:rPr>
                <w:color w:val="000000"/>
              </w:rPr>
            </w:pPr>
            <w:r>
              <w:rPr>
                <w:rFonts w:cs="Times New Roman" w:ascii="Times New Roman" w:hAnsi="Times New Roman"/>
                <w:b/>
                <w:color w:val="000000"/>
                <w:sz w:val="24"/>
                <w:szCs w:val="24"/>
              </w:rPr>
              <w:t>Не определяется</w:t>
            </w:r>
          </w:p>
        </w:tc>
      </w:tr>
      <w:tr>
        <w:trPr/>
        <w:tc>
          <w:tcPr>
            <w:tcW w:w="538"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Условия и сроки платежа, необходимые реквизиты счетов</w:t>
            </w:r>
          </w:p>
        </w:tc>
        <w:tc>
          <w:tcPr>
            <w:tcW w:w="5387" w:type="dxa"/>
            <w:tcBorders/>
            <w:shd w:fill="auto" w:val="clear"/>
          </w:tcPr>
          <w:p>
            <w:pPr>
              <w:pStyle w:val="Normal"/>
              <w:spacing w:lineRule="auto" w:line="240" w:before="0" w:after="0"/>
              <w:ind w:firstLine="318"/>
              <w:jc w:val="both"/>
              <w:rPr>
                <w:color w:val="000000"/>
              </w:rPr>
            </w:pPr>
            <w:r>
              <w:rPr>
                <w:rFonts w:cs="Times New Roman" w:ascii="Times New Roman" w:hAnsi="Times New Roman"/>
                <w:color w:val="000000"/>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color w:val="000000"/>
              </w:rPr>
            </w:pPr>
            <w:r>
              <w:rPr>
                <w:rFonts w:cs="Times New Roman" w:ascii="Times New Roman" w:hAnsi="Times New Roman"/>
                <w:color w:val="000000"/>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shd w:fill="auto" w:val="clear"/>
          </w:tcPr>
          <w:p>
            <w:pPr>
              <w:pStyle w:val="Normal"/>
              <w:spacing w:lineRule="auto" w:line="240" w:before="0" w:after="0"/>
              <w:jc w:val="center"/>
              <w:rPr/>
            </w:pPr>
            <w:r>
              <w:rPr>
                <w:rFonts w:cs="Times New Roman" w:ascii="Times New Roman" w:hAnsi="Times New Roman"/>
                <w:color w:val="000000" w:themeColor="text1"/>
                <w:sz w:val="24"/>
                <w:szCs w:val="24"/>
              </w:rPr>
              <w:t>6</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387" w:type="dxa"/>
            <w:tcBorders/>
            <w:shd w:fill="auto" w:val="clear"/>
          </w:tcPr>
          <w:p>
            <w:pPr>
              <w:pStyle w:val="Normal"/>
              <w:spacing w:lineRule="auto" w:line="240" w:before="0" w:after="0"/>
              <w:ind w:firstLine="318"/>
              <w:jc w:val="both"/>
              <w:rPr>
                <w:rFonts w:asciiTheme="minorHAnsi" w:cstheme="minorBidi" w:eastAsiaTheme="minorHAnsi" w:hAnsiTheme="minorHAnsi"/>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w:t>
            </w:r>
            <w:r>
              <w:rPr>
                <w:rFonts w:cs="Times New Roman" w:ascii="Times New Roman" w:hAnsi="Times New Roman"/>
                <w:b/>
                <w:sz w:val="24"/>
                <w:szCs w:val="24"/>
              </w:rPr>
              <w:t>15.</w:t>
            </w:r>
            <w:r>
              <w:rPr>
                <w:rFonts w:cs="Times New Roman" w:ascii="Times New Roman" w:hAnsi="Times New Roman"/>
                <w:b/>
                <w:sz w:val="24"/>
                <w:szCs w:val="24"/>
              </w:rPr>
              <w:t>02.2021г. (время московское).</w:t>
            </w:r>
          </w:p>
          <w:p>
            <w:pPr>
              <w:pStyle w:val="Normal"/>
              <w:spacing w:lineRule="auto" w:line="240" w:before="0" w:after="0"/>
              <w:ind w:firstLine="318"/>
              <w:jc w:val="both"/>
              <w:rPr>
                <w:rFonts w:asciiTheme="minorHAnsi" w:cstheme="minorBidi" w:eastAsiaTheme="minorHAnsi" w:hAnsiTheme="minorHAnsi"/>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w:t>
            </w:r>
            <w:r>
              <w:rPr>
                <w:rFonts w:cs="Times New Roman" w:ascii="Times New Roman" w:hAnsi="Times New Roman"/>
                <w:b/>
                <w:sz w:val="24"/>
                <w:szCs w:val="24"/>
              </w:rPr>
              <w:t>15</w:t>
            </w:r>
            <w:r>
              <w:rPr>
                <w:rFonts w:cs="Times New Roman" w:ascii="Times New Roman" w:hAnsi="Times New Roman"/>
                <w:b/>
                <w:sz w:val="24"/>
                <w:szCs w:val="24"/>
              </w:rPr>
              <w:t>.0</w:t>
            </w:r>
            <w:r>
              <w:rPr>
                <w:rFonts w:cs="Times New Roman" w:ascii="Times New Roman" w:hAnsi="Times New Roman"/>
                <w:b/>
                <w:sz w:val="24"/>
                <w:szCs w:val="24"/>
              </w:rPr>
              <w:t>3</w:t>
            </w:r>
            <w:r>
              <w:rPr>
                <w:rFonts w:cs="Times New Roman" w:ascii="Times New Roman" w:hAnsi="Times New Roman"/>
                <w:b/>
                <w:sz w:val="24"/>
                <w:szCs w:val="24"/>
              </w:rPr>
              <w:t>.2021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w:t>
            </w:r>
            <w:r>
              <w:rPr>
                <w:rFonts w:cs="Times New Roman" w:ascii="Times New Roman" w:hAnsi="Times New Roman"/>
                <w:sz w:val="24"/>
                <w:szCs w:val="24"/>
              </w:rPr>
              <w:t>ппы Газпромбанка.</w:t>
            </w:r>
          </w:p>
          <w:p>
            <w:pPr>
              <w:pStyle w:val="Normal"/>
              <w:spacing w:lineRule="auto" w:line="240" w:before="0" w:after="0"/>
              <w:ind w:firstLine="318"/>
              <w:jc w:val="both"/>
              <w:rPr/>
            </w:pPr>
            <w:r>
              <w:rPr>
                <w:rFonts w:cs="Times New Roman" w:ascii="Times New Roman" w:hAnsi="Times New Roman"/>
                <w:sz w:val="24"/>
                <w:szCs w:val="24"/>
                <w:shd w:fill="FFFFFF" w:val="clear"/>
              </w:rPr>
              <w:t>Для участия в продаже имущества претенденты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без объявления цены, а также направляют свои предложения о цене имущества.</w:t>
            </w:r>
          </w:p>
          <w:p>
            <w:pPr>
              <w:pStyle w:val="Normal"/>
              <w:spacing w:lineRule="auto" w:line="240" w:before="0" w:after="0"/>
              <w:ind w:firstLine="318"/>
              <w:jc w:val="both"/>
              <w:rPr/>
            </w:pPr>
            <w:r>
              <w:rPr>
                <w:rFonts w:cs="Times New Roman" w:ascii="Times New Roman" w:hAnsi="Times New Roman"/>
                <w:sz w:val="24"/>
                <w:szCs w:val="24"/>
                <w:shd w:fill="FFFFFF" w:val="clear"/>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spacing w:lineRule="auto" w:line="240" w:before="0" w:after="0"/>
              <w:ind w:firstLine="540"/>
              <w:jc w:val="both"/>
              <w:rPr/>
            </w:pPr>
            <w:r>
              <w:rPr>
                <w:rFonts w:cs="Times New Roman" w:ascii="Times New Roman" w:hAnsi="Times New Roman"/>
                <w:sz w:val="24"/>
                <w:szCs w:val="24"/>
                <w:shd w:fill="FFFFFF" w:val="clear"/>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ConsPlusNormal"/>
              <w:spacing w:lineRule="auto" w:line="240" w:before="0" w:after="0"/>
              <w:ind w:firstLine="540"/>
              <w:jc w:val="both"/>
              <w:rPr/>
            </w:pPr>
            <w:r>
              <w:rPr>
                <w:rFonts w:cs="Times New Roman" w:ascii="Times New Roman" w:hAnsi="Times New Roman"/>
                <w:sz w:val="24"/>
                <w:szCs w:val="24"/>
                <w:shd w:fill="FFFFFF" w:val="clear"/>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rFonts w:ascii="Times New Roman" w:hAnsi="Times New Roman" w:cs="Times New Roman"/>
                <w:b/>
                <w:b/>
                <w:sz w:val="24"/>
                <w:szCs w:val="24"/>
                <w:highlight w:val="yellow"/>
              </w:rPr>
            </w:pPr>
            <w:r>
              <w:rPr>
                <w:rFonts w:cs="Times New Roman" w:ascii="Times New Roman" w:hAnsi="Times New Roman"/>
                <w:b/>
                <w:sz w:val="24"/>
                <w:szCs w:val="24"/>
                <w:highlight w:val="yellow"/>
              </w:rPr>
            </w:r>
          </w:p>
        </w:tc>
      </w:tr>
      <w:tr>
        <w:trPr/>
        <w:tc>
          <w:tcPr>
            <w:tcW w:w="538" w:type="dxa"/>
            <w:tcBorders/>
            <w:shd w:fill="auto" w:val="clear"/>
          </w:tcPr>
          <w:p>
            <w:pPr>
              <w:pStyle w:val="Normal"/>
              <w:spacing w:lineRule="auto" w:line="240" w:before="0" w:after="0"/>
              <w:jc w:val="center"/>
              <w:rPr/>
            </w:pPr>
            <w:r>
              <w:rPr>
                <w:rFonts w:cs="Times New Roman" w:ascii="Times New Roman" w:hAnsi="Times New Roman"/>
                <w:sz w:val="24"/>
                <w:szCs w:val="24"/>
              </w:rPr>
              <w:t>7</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387" w:type="dxa"/>
            <w:tcBorders/>
            <w:shd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продаже.</w:t>
            </w:r>
          </w:p>
        </w:tc>
      </w:tr>
      <w:tr>
        <w:trPr/>
        <w:tc>
          <w:tcPr>
            <w:tcW w:w="538" w:type="dxa"/>
            <w:tcBorders/>
            <w:shd w:fill="auto" w:val="clear"/>
          </w:tcPr>
          <w:p>
            <w:pPr>
              <w:pStyle w:val="Normal"/>
              <w:spacing w:lineRule="auto" w:line="240" w:before="0" w:after="0"/>
              <w:jc w:val="center"/>
              <w:rPr/>
            </w:pPr>
            <w:r>
              <w:rPr>
                <w:rFonts w:cs="Times New Roman" w:ascii="Times New Roman" w:hAnsi="Times New Roman"/>
                <w:sz w:val="24"/>
                <w:szCs w:val="24"/>
              </w:rPr>
              <w:t>8</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387" w:type="dxa"/>
            <w:tcBorders/>
            <w:shd w:fill="auto" w:val="clear"/>
          </w:tcPr>
          <w:p>
            <w:pPr>
              <w:pStyle w:val="ListParagraph"/>
              <w:spacing w:lineRule="auto" w:line="240" w:before="0" w:after="0"/>
              <w:ind w:left="34" w:firstLine="318"/>
              <w:contextualSpacing/>
              <w:jc w:val="both"/>
              <w:rPr>
                <w:rFonts w:ascii="Times New Roman" w:hAnsi="Times New Roman" w:cs="Times New Roman"/>
                <w:sz w:val="24"/>
                <w:szCs w:val="24"/>
              </w:rPr>
            </w:pPr>
            <w:r>
              <w:rPr>
                <w:rFonts w:cs="Times New Roman" w:ascii="Times New Roman" w:hAnsi="Times New Roman"/>
                <w:sz w:val="24"/>
                <w:szCs w:val="24"/>
              </w:rPr>
              <w:t>В соответствии с п.8 ст.18 Федерального закона от 21.12.2001г. № 178-ФЗ «О приватизации государственного и муниципального имущества».</w:t>
            </w:r>
          </w:p>
        </w:tc>
      </w:tr>
      <w:tr>
        <w:trPr/>
        <w:tc>
          <w:tcPr>
            <w:tcW w:w="538" w:type="dxa"/>
            <w:tcBorders/>
            <w:shd w:fill="auto" w:val="clear"/>
          </w:tcPr>
          <w:p>
            <w:pPr>
              <w:pStyle w:val="Normal"/>
              <w:spacing w:lineRule="auto" w:line="240" w:before="0" w:after="0"/>
              <w:jc w:val="center"/>
              <w:rPr/>
            </w:pPr>
            <w:r>
              <w:rPr>
                <w:rFonts w:cs="Times New Roman" w:ascii="Times New Roman" w:hAnsi="Times New Roman"/>
                <w:sz w:val="24"/>
                <w:szCs w:val="24"/>
              </w:rPr>
              <w:t>9</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shd w:fill="auto" w:val="clear"/>
          </w:tcPr>
          <w:p>
            <w:pPr>
              <w:pStyle w:val="Normal"/>
              <w:spacing w:lineRule="auto" w:line="240" w:before="0" w:after="0"/>
              <w:jc w:val="center"/>
              <w:rPr/>
            </w:pPr>
            <w:r>
              <w:rPr>
                <w:rFonts w:cs="Times New Roman" w:ascii="Times New Roman" w:hAnsi="Times New Roman"/>
                <w:sz w:val="24"/>
                <w:szCs w:val="24"/>
              </w:rPr>
              <w:t>10</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shd w:fill="auto" w:val="clear"/>
          </w:tcPr>
          <w:p>
            <w:pPr>
              <w:pStyle w:val="Normal"/>
              <w:spacing w:lineRule="auto" w:line="240" w:before="0" w:after="0"/>
              <w:jc w:val="center"/>
              <w:rPr/>
            </w:pPr>
            <w:r>
              <w:rPr>
                <w:rFonts w:cs="Times New Roman" w:ascii="Times New Roman" w:hAnsi="Times New Roman"/>
                <w:sz w:val="24"/>
                <w:szCs w:val="24"/>
              </w:rPr>
              <w:t>11</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shd w:fill="auto" w:val="clear"/>
          </w:tcPr>
          <w:p>
            <w:pPr>
              <w:pStyle w:val="Normal"/>
              <w:spacing w:lineRule="auto" w:line="240" w:before="0" w:after="0"/>
              <w:jc w:val="center"/>
              <w:rPr/>
            </w:pPr>
            <w:r>
              <w:rPr>
                <w:rFonts w:cs="Times New Roman" w:ascii="Times New Roman" w:hAnsi="Times New Roman"/>
                <w:sz w:val="24"/>
                <w:szCs w:val="24"/>
              </w:rPr>
              <w:t>12</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shd w:fill="auto" w:val="clear"/>
          </w:tcPr>
          <w:p>
            <w:pPr>
              <w:pStyle w:val="Normal"/>
              <w:spacing w:lineRule="auto" w:line="240" w:before="0" w:after="0"/>
              <w:jc w:val="center"/>
              <w:rPr/>
            </w:pPr>
            <w:r>
              <w:rPr>
                <w:rFonts w:cs="Times New Roman" w:ascii="Times New Roman" w:hAnsi="Times New Roman"/>
                <w:sz w:val="24"/>
                <w:szCs w:val="24"/>
              </w:rPr>
              <w:t>13</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387"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Подведение итогов продажи</w:t>
            </w:r>
          </w:p>
          <w:p>
            <w:pPr>
              <w:pStyle w:val="Normal"/>
              <w:spacing w:lineRule="auto" w:line="240" w:before="0" w:after="0"/>
              <w:ind w:firstLine="318"/>
              <w:jc w:val="both"/>
              <w:rPr>
                <w:rFonts w:asciiTheme="minorHAnsi" w:cstheme="minorBidi" w:eastAsiaTheme="minorHAnsi" w:hAnsiTheme="minorHAnsi"/>
              </w:rPr>
            </w:pPr>
            <w:r>
              <w:rPr>
                <w:rFonts w:cs="Times New Roman" w:ascii="Times New Roman" w:hAnsi="Times New Roman"/>
                <w:b/>
                <w:sz w:val="24"/>
                <w:szCs w:val="24"/>
              </w:rPr>
              <w:t>17.</w:t>
            </w:r>
            <w:r>
              <w:rPr>
                <w:rFonts w:cs="Times New Roman" w:ascii="Times New Roman" w:hAnsi="Times New Roman"/>
                <w:b/>
                <w:sz w:val="24"/>
                <w:szCs w:val="24"/>
              </w:rPr>
              <w:t>0</w:t>
            </w:r>
            <w:r>
              <w:rPr>
                <w:rFonts w:cs="Times New Roman" w:ascii="Times New Roman" w:hAnsi="Times New Roman"/>
                <w:b/>
                <w:sz w:val="24"/>
                <w:szCs w:val="24"/>
              </w:rPr>
              <w:t>3</w:t>
            </w:r>
            <w:r>
              <w:rPr>
                <w:rFonts w:cs="Times New Roman" w:ascii="Times New Roman" w:hAnsi="Times New Roman"/>
                <w:b/>
                <w:sz w:val="24"/>
                <w:szCs w:val="24"/>
              </w:rPr>
              <w:t>.2021 г.</w:t>
            </w:r>
          </w:p>
        </w:tc>
      </w:tr>
      <w:tr>
        <w:trPr/>
        <w:tc>
          <w:tcPr>
            <w:tcW w:w="538" w:type="dxa"/>
            <w:tcBorders/>
            <w:shd w:fill="auto" w:val="clear"/>
          </w:tcPr>
          <w:p>
            <w:pPr>
              <w:pStyle w:val="Normal"/>
              <w:spacing w:lineRule="auto" w:line="240" w:before="0" w:after="0"/>
              <w:jc w:val="center"/>
              <w:rPr/>
            </w:pPr>
            <w:r>
              <w:rPr>
                <w:rFonts w:cs="Times New Roman" w:ascii="Times New Roman" w:hAnsi="Times New Roman"/>
                <w:sz w:val="24"/>
                <w:szCs w:val="24"/>
              </w:rPr>
              <w:t>14</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387" w:type="dxa"/>
            <w:tcBorders/>
            <w:shd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shd w:fill="auto" w:val="clear"/>
          </w:tcPr>
          <w:p>
            <w:pPr>
              <w:pStyle w:val="Normal"/>
              <w:spacing w:lineRule="auto" w:line="240" w:before="0" w:after="0"/>
              <w:jc w:val="center"/>
              <w:rPr/>
            </w:pPr>
            <w:r>
              <w:rPr>
                <w:rFonts w:cs="Times New Roman" w:ascii="Times New Roman" w:hAnsi="Times New Roman"/>
                <w:sz w:val="24"/>
                <w:szCs w:val="24"/>
              </w:rPr>
              <w:t>15</w:t>
            </w:r>
          </w:p>
        </w:tc>
        <w:tc>
          <w:tcPr>
            <w:tcW w:w="3857"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7"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посредством публичного предложения (информационное сообщение № 241120/30312911/13, извещение № ГП071490) признан несостоявшимся (для участия в нём не было подано ни одной заявки).</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427690967"/>
    </w:sdtPr>
    <w:sdtContent>
      <w:p>
        <w:pPr>
          <w:pStyle w:val="Style22"/>
          <w:jc w:val="right"/>
          <w:rPr/>
        </w:pPr>
        <w:r>
          <w:rPr/>
          <w:fldChar w:fldCharType="begin"/>
        </w:r>
        <w:r>
          <w:rPr/>
          <w:instrText> PAGE </w:instrText>
        </w:r>
        <w:r>
          <w:rPr/>
          <w:fldChar w:fldCharType="separate"/>
        </w:r>
        <w:r>
          <w:rPr/>
          <w:t>2</w:t>
        </w:r>
        <w:r>
          <w:rPr/>
          <w:fldChar w:fldCharType="end"/>
        </w:r>
      </w:p>
    </w:sdtContent>
  </w:sdt>
  <w:p>
    <w:pPr>
      <w:pStyle w:val="Style22"/>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3">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3A74B-B785-44E9-83F9-AEFD49315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Application>LibreOffice/6.1.5.2$Linux_X86_64 LibreOffice_project/10$Build-2</Application>
  <Pages>4</Pages>
  <Words>886</Words>
  <Characters>6220</Characters>
  <CharactersWithSpaces>7035</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2021-01-20T12:17:30Z</cp:lastPrinted>
  <dcterms:modified xsi:type="dcterms:W3CDTF">2021-01-20T12:18:15Z</dcterms:modified>
  <cp:revision>65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