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Информационное сообщение  № 1 от «8» февраля 2021 года</w:t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>
      <w:pPr>
        <w:pStyle w:val="Normal"/>
        <w:spacing w:lineRule="auto" w:line="240" w:before="0" w:after="0"/>
        <w:ind w:firstLine="561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посредством публичного предложения</w:t>
      </w:r>
      <w:bookmarkStart w:id="0" w:name="_GoBack1"/>
      <w:bookmarkEnd w:id="0"/>
      <w:r>
        <w:rPr>
          <w:rFonts w:cs="Times New Roman" w:ascii="Times New Roman" w:hAnsi="Times New Roman"/>
          <w:b/>
          <w:sz w:val="24"/>
          <w:szCs w:val="24"/>
        </w:rPr>
        <w:t xml:space="preserve">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88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2"/>
        <w:gridCol w:w="2558"/>
        <w:gridCol w:w="6529"/>
      </w:tblGrid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Департамента техники и вооружения Росгвардии (сопроводительное письмо от 17/10/2019 № 24/3144 )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" w:firstLine="318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запасные части к оборудованию и продукции общепромышленного имущества (имущество продовольственной службы).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200"/>
              <w:ind w:left="34" w:right="-1" w:firstLine="284"/>
              <w:jc w:val="both"/>
              <w:rPr>
                <w:b w:val="false"/>
                <w:b w:val="false"/>
                <w:bCs w:val="false"/>
              </w:rPr>
            </w:pPr>
            <w:r>
              <w:rPr>
                <w:rFonts w:eastAsia="Arial Unicode MS"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Местонахождение имущества – ОХ ФКУ «ДВЦМТО Росгвардии», Войсковая часть 6938, 680555, г. Хабаровск, пер. Целинный, 41.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1 489 189</w:t>
            </w:r>
            <w:bookmarkStart w:id="1" w:name="__DdeLink__3041_23753935351111111"/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,</w:t>
            </w:r>
            <w:bookmarkEnd w:id="1"/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00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руб.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более 10 % от начальной цены продажи имущества -  148918,90  руб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более 50% от «шага понижения» -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74459,45  руб.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38" w:leader="none"/>
              </w:tabs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Цена отсечения 50% начальной цены продажи.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744594,50 руб.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sub_66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Балансодержателю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платежным реквизитам Балансодержателя</w:t>
            </w:r>
            <w:r>
              <w:rPr>
                <w:rFonts w:cs="Times New Roman" w:ascii="Times New Roman" w:hAnsi="Times New Roman"/>
                <w:color w:val="FF0000"/>
                <w:sz w:val="24"/>
                <w:szCs w:val="24"/>
              </w:rPr>
              <w:t>.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      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20% от начальной цены реализации 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- 297837,80 руб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руб.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Для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участия в продаже высвобождаемого движимого военного имущества посредством публичного предложения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ИНН: 2720056970, КПП: 272001001,</w:t>
            </w:r>
            <w:r>
              <w:rPr>
                <w:rFonts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У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правление Федерального казначейства по Хабаровскому краю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, л/с 05221F91100), казначейский счет 0321164300000002200, ЕКС 40102810845370000014 </w:t>
            </w:r>
            <w:r>
              <w:rPr>
                <w:rFonts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О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ТДЕЛЕНИЕ ХАБАРОВСК БАНКА РОССИИ//УФК по Хабаровскому краю г. Хабаровск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, БИК 010813050, ОГРН 1172724007510, ОКПО 08721742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ind w:firstLine="567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«15» марта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2021 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При перечислении суммы задатка в поле «Назначение платежа» платежного поручения обязательно указывается: «Задаток для участия в продаже, согласно информационному сообщению  № ___  от «__ » _______ 2021г.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>
            <w:pPr>
              <w:pStyle w:val="Style21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/>
              <w:ind w:firstLine="600"/>
              <w:rPr/>
            </w:pPr>
            <w:r>
              <w:rPr/>
              <w:t>На денежные средства, перечисленные претендентом в качестве задатка, проценты не начисляются.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претенденту было отказано в приеме заявки на участие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случае если участник не признан победителем продажи посредством публичного предложения, продавец обязуется возвратить сумму задатка на счет, указанный в заявке,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отзыва претендентом в установленном порядке заявки на участие в продаже посредством публичного предложения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- в случае признания продажи посредством публичного предложения несостоявшейся, продавец обязуется возвратить сумму задатка на счет участника, указанный в заявке,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отмены проведения продажи посредством публичного предложения,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 только при наличии соответствующей лицензии);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        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2">
              <w:r>
                <w:rPr>
                  <w:rStyle w:val="ListLabel20"/>
                  <w:rFonts w:eastAsia="" w:cs="Times New Roman CYR" w:ascii="Times New Roman CYR" w:hAnsi="Times New Roman CYR" w:eastAsiaTheme="minorEastAsia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о приватизации.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Заявка подается оператору Торговаой площадки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3"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bookmarkStart w:id="3" w:name="sub_221"/>
            <w:bookmarkEnd w:id="3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«08»февраля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«08» 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b/>
                <w:sz w:val="24"/>
                <w:szCs w:val="24"/>
                <w:lang w:eastAsia="ru-RU"/>
              </w:rPr>
              <w:t>Признание претендентов участниками торгов</w:t>
            </w:r>
            <w:bookmarkStart w:id="4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4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«15» марта 2021 г.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</w:tc>
      </w:tr>
      <w:tr>
        <w:trPr>
          <w:trHeight w:val="791" w:hRule="atLeast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- «17» 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 в 12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  <w:bookmarkStart w:id="5" w:name="_GoBack11"/>
            <w:bookmarkEnd w:id="5"/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  <w:p>
            <w:pPr>
              <w:pStyle w:val="HTMLPreformatted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АО «ЕЭТП» или «Росэлторг») </w:t>
            </w:r>
            <w:hyperlink r:id="rId4"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5">
              <w:r>
                <w:rPr>
                  <w:rStyle w:val="ListLabel25"/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торгов продавец и победитель продажи посредством публичного предложения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6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7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8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6" w:name="_GoBack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</w:t>
            </w:r>
            <w:bookmarkEnd w:id="6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24)3015092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«Шаг понижения» устанавливается Продавцом в фиксированной сумме, составляющей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цену предложения, сложившуюся на соответствующем «шаге понижения», при отсутствии предложений других участников.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  <w:br/>
              <w:t>от 27 августа 2012 г. № 860 «Об организации и проведении продажи государственного или муниципального имущества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Ход проведения 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851"/>
              <w:jc w:val="both"/>
              <w:rPr/>
            </w:pPr>
            <w:bookmarkStart w:id="7" w:name="sub_91"/>
            <w:bookmarkEnd w:id="7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Calibri" w:hAnsi="Calibri" w:eastAsia="Calibri" w:cs="" w:asciiTheme="minorHAnsi" w:cstheme="minorBidi" w:eastAsiaTheme="minorHAnsi" w:hAnsiTheme="minorHAnsi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путем проведения аукциона.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178fz18122000025 от 20.12.2020 (аукцион признан не состоявшимся по основаниям отсутствия заявок на участие).</w:t>
            </w:r>
          </w:p>
        </w:tc>
      </w:tr>
    </w:tbl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/>
      </w:r>
    </w:p>
    <w:tbl>
      <w:tblPr>
        <w:tblW w:w="9855" w:type="dxa"/>
        <w:jc w:val="left"/>
        <w:tblInd w:w="2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7"/>
        <w:gridCol w:w="3976"/>
        <w:gridCol w:w="1005"/>
        <w:gridCol w:w="1275"/>
        <w:gridCol w:w="1125"/>
        <w:gridCol w:w="1847"/>
      </w:tblGrid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Автомат 3П 25 А (КНЭ-50,100) 300,00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8" w:name="__DdeLink__378_40269046111111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8"/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Автомат 3П 32 А (ПЭСМ-4ШБ) 320,00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Автомат 3П 32 А (ПЭСМ-4ШБ) 370,00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Автомат АВ-241-900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Бак для белья 32 л  (41,06)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130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Баллон для газа  64,48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Баллон фреоновый 50 л 118,00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Вентоотсосы МВО-420 (273,3)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Весы чашечные до 20 кг (354, 00)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84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Гребенка из стали для завесы 540,00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 температуры Т32М 740,00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145-1М-1-1,3 5,23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145-1М-1-13  4,43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145-1М-В  4,31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145-1М-В  5,09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ТАМ-112-1  3,58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ТАМ-112-1 4,21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ТАМ-133-1В 26,19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Датчик-реле температуры ТАМ-В3-21,3  5,23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Диск терочный МОК-125 (17,82)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Диск терочный МОК-250 (0,11)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Клапан предохранительный 02060 КПЭ 57,47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Клапан шредера 04 ТР 390,00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Компрессор ХКВ 53,10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Комфорка КЭ-0,12 3 кВт 3850,00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Котел КПП-400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Кран для кипятильника 375,00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Кухня с принадлежностями КП-2-48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Манометр ЭКМ1УХ1 0,02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Масло фреоновое Х8-12 100,30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Мешки льняные 3,28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690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Микродвигатель М 4 Q 0/45-CA 03-51  2300,00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Нож 146-01-00-03-01 16,17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Нож 146-01-00-03-02 16,17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Нож двухсторонний 0002 16,25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Нож двухсторонний 0005 3,10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Нож подрезной МИМ-105 7,34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38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Пакетный переключатель ПТКП 25,96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65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Пакетный переключатель ПТКП 560,00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Патрон осуш. ОП-15    0,05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Пластина зажимная для завесы 95,00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42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Радбортовка 0,12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43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Реле КРТ-2-3 МС 8,85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44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Реле КРТ-2-3ПС 8,85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45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Реле пускозащитное РТК-М 15,10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46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Реле РП-21-0003 12,98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47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Реле РТХО 9,44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48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Ремень 13*80*710  0,05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49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Ремень 13*80*710  2,54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Ремень 13*80*830  0,01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51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Решетка № 2 к МИМ-105  0,01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52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Сеть капроновая 45*15*70  6,31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53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Сеть капроновая 45*150*60  6,31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Сеть капроновая 70*42*100  18,36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Сигмент МОК-125 (0,02)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56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Сигмент МОК-250 (9,58)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57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Спираль для сковороды (540.00)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58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Спираль для сковороды (540.00)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59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Спираль для сковороды 535,00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Съемник ПР-104 0,21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61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Термовентиль ТРВА-40  64,58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62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Термовентиль ТРВА-80  64,58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63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Терморегулятор РТХО 0,05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64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Труборез 70,80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65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100 А (КНЭ-100) 0,01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66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№ 100 Б 0,01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67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№ 50-01  14,56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68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№ 62 А  0,01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69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№ 62 А 47,54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279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№ 65  1,94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71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Тэн № 87  23,60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770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72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Фильтр-осушитель DSL 032 к КХН 450,00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73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Фтор-1  0,09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74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Хладон-12 (59,00)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75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Электрод сухого хода 18,34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76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Электродвигатель к ФАК-1,5 206,22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77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Электрокомфорка к ЭПК-31-0,15/3,0 2163,33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78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Электрокомфорка КЭ-0,17/4,0  1970,00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79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Электрокомфорка КЭ-1,12/25 2830,00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80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Электроконфорка КЭ-1,12/25 (1085,60)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98" w:hRule="atLeast"/>
        </w:trPr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81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Электроконфорка КЭ-1,12/25 (1085,60)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rPr/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HTMLPreformatted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9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9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/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Times New Roman CYR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ListLabel1" w:customStyle="1">
    <w:name w:val="ListLabel 1"/>
    <w:qFormat/>
    <w:rPr>
      <w:rFonts w:cs="Times New Roman"/>
      <w:sz w:val="28"/>
      <w:szCs w:val="28"/>
      <w:lang w:val="ru-RU"/>
    </w:rPr>
  </w:style>
  <w:style w:type="character" w:styleId="ListLabel2" w:customStyle="1">
    <w:name w:val="ListLabel 2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3" w:customStyle="1">
    <w:name w:val="ListLabel 3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4" w:customStyle="1">
    <w:name w:val="ListLabel 4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5" w:customStyle="1">
    <w:name w:val="ListLabel 5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6" w:customStyle="1">
    <w:name w:val="ListLabel 6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7" w:customStyle="1">
    <w:name w:val="ListLabel 7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8" w:customStyle="1">
    <w:name w:val="ListLabel 8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9" w:customStyle="1">
    <w:name w:val="ListLabel 9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0" w:customStyle="1">
    <w:name w:val="ListLabel 10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1" w:customStyle="1">
    <w:name w:val="ListLabel 11"/>
    <w:qFormat/>
    <w:rPr>
      <w:rFonts w:ascii="Times New Roman" w:hAnsi="Times New Roman" w:cs="Times New Roman"/>
      <w:sz w:val="24"/>
      <w:szCs w:val="24"/>
    </w:rPr>
  </w:style>
  <w:style w:type="character" w:styleId="ListLabel12" w:customStyle="1">
    <w:name w:val="ListLabel 12"/>
    <w:qFormat/>
    <w:rPr>
      <w:rFonts w:ascii="Times New Roman" w:hAnsi="Times New Roman" w:cs="Times New Roman"/>
      <w:sz w:val="24"/>
      <w:szCs w:val="24"/>
    </w:rPr>
  </w:style>
  <w:style w:type="character" w:styleId="ListLabel13" w:customStyle="1">
    <w:name w:val="ListLabel 13"/>
    <w:qFormat/>
    <w:rPr>
      <w:rFonts w:ascii="Times New Roman" w:hAnsi="Times New Roman" w:cs="Times New Roman"/>
      <w:sz w:val="24"/>
      <w:szCs w:val="24"/>
    </w:rPr>
  </w:style>
  <w:style w:type="character" w:styleId="ListLabel14" w:customStyle="1">
    <w:name w:val="ListLabel 14"/>
    <w:qFormat/>
    <w:rPr>
      <w:rFonts w:ascii="Times New Roman" w:hAnsi="Times New Roman" w:cs="Times New Roman"/>
      <w:sz w:val="24"/>
      <w:szCs w:val="24"/>
    </w:rPr>
  </w:style>
  <w:style w:type="character" w:styleId="ListLabel15" w:customStyle="1">
    <w:name w:val="ListLabel 15"/>
    <w:qFormat/>
    <w:rPr>
      <w:rFonts w:ascii="Times New Roman" w:hAnsi="Times New Roman" w:cs="Times New Roman"/>
      <w:sz w:val="24"/>
      <w:szCs w:val="24"/>
    </w:rPr>
  </w:style>
  <w:style w:type="character" w:styleId="ListLabel16" w:customStyle="1">
    <w:name w:val="ListLabel 16"/>
    <w:qFormat/>
    <w:rPr>
      <w:rFonts w:ascii="Times New Roman" w:hAnsi="Times New Roman" w:cs="Times New Roman"/>
      <w:sz w:val="24"/>
      <w:szCs w:val="24"/>
    </w:rPr>
  </w:style>
  <w:style w:type="character" w:styleId="ListLabel17" w:customStyle="1">
    <w:name w:val="ListLabel 17"/>
    <w:qFormat/>
    <w:rPr>
      <w:rFonts w:ascii="Times New Roman" w:hAnsi="Times New Roman" w:cs="Times New Roman"/>
      <w:sz w:val="24"/>
      <w:szCs w:val="24"/>
    </w:rPr>
  </w:style>
  <w:style w:type="character" w:styleId="ListLabel18" w:customStyle="1">
    <w:name w:val="ListLabel 18"/>
    <w:qFormat/>
    <w:rPr>
      <w:rFonts w:ascii="Times New Roman" w:hAnsi="Times New Roman" w:cs="Times New Roman"/>
      <w:sz w:val="24"/>
      <w:szCs w:val="24"/>
    </w:rPr>
  </w:style>
  <w:style w:type="character" w:styleId="ListLabel19" w:customStyle="1">
    <w:name w:val="ListLabel 19"/>
    <w:qFormat/>
    <w:rPr>
      <w:rFonts w:ascii="Times New Roman" w:hAnsi="Times New Roman" w:cs="Times New Roman"/>
      <w:sz w:val="24"/>
      <w:szCs w:val="24"/>
    </w:rPr>
  </w:style>
  <w:style w:type="character" w:styleId="ListLabel20">
    <w:name w:val="ListLabel 2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21">
    <w:name w:val="ListLabel 2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22">
    <w:name w:val="ListLabel 2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25">
    <w:name w:val="ListLabel 2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26">
    <w:name w:val="ListLabel 26"/>
    <w:qFormat/>
    <w:rPr/>
  </w:style>
  <w:style w:type="character" w:styleId="ListLabel27">
    <w:name w:val="ListLabel 2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35">
    <w:name w:val="ListLabel 35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36">
    <w:name w:val="ListLabel 3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38">
    <w:name w:val="ListLabel 38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0">
    <w:name w:val="ListLabel 40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1">
    <w:name w:val="ListLabel 41"/>
    <w:qFormat/>
    <w:rPr/>
  </w:style>
  <w:style w:type="character" w:styleId="ListLabel42">
    <w:name w:val="ListLabel 4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43">
    <w:name w:val="ListLabel 4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44">
    <w:name w:val="ListLabel 4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45">
    <w:name w:val="ListLabel 4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6">
    <w:name w:val="ListLabel 4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47">
    <w:name w:val="ListLabel 4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8">
    <w:name w:val="ListLabel 48"/>
    <w:qFormat/>
    <w:rPr/>
  </w:style>
  <w:style w:type="character" w:styleId="ListLabel49">
    <w:name w:val="ListLabel 4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50">
    <w:name w:val="ListLabel 5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1">
    <w:name w:val="ListLabel 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52">
    <w:name w:val="ListLabel 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53">
    <w:name w:val="ListLabel 5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54">
    <w:name w:val="ListLabel 5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55">
    <w:name w:val="ListLabel 5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56">
    <w:name w:val="ListLabel 56"/>
    <w:qFormat/>
    <w:rPr/>
  </w:style>
  <w:style w:type="character" w:styleId="ListLabel57">
    <w:name w:val="ListLabel 5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FontStyle18">
    <w:name w:val="Font Style18"/>
    <w:basedOn w:val="DefaultParagraphFont"/>
    <w:qFormat/>
    <w:rPr>
      <w:rFonts w:ascii="Times New Roman" w:hAnsi="Times New Roman" w:cs="Times New Roman"/>
      <w:sz w:val="24"/>
      <w:szCs w:val="24"/>
    </w:rPr>
  </w:style>
  <w:style w:type="character" w:styleId="ListLabel58">
    <w:name w:val="ListLabel 5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9">
    <w:name w:val="ListLabel 5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0">
    <w:name w:val="ListLabel 6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1">
    <w:name w:val="ListLabel 6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62">
    <w:name w:val="ListLabel 6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63">
    <w:name w:val="ListLabel 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64">
    <w:name w:val="ListLabel 64"/>
    <w:qFormat/>
    <w:rPr/>
  </w:style>
  <w:style w:type="character" w:styleId="ListLabel65">
    <w:name w:val="ListLabel 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66">
    <w:name w:val="ListLabel 6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67">
    <w:name w:val="ListLabel 6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8">
    <w:name w:val="ListLabel 6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9">
    <w:name w:val="ListLabel 6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0">
    <w:name w:val="ListLabel 7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1">
    <w:name w:val="ListLabel 7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72">
    <w:name w:val="ListLabel 72"/>
    <w:qFormat/>
    <w:rPr/>
  </w:style>
  <w:style w:type="character" w:styleId="ListLabel73">
    <w:name w:val="ListLabel 7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74">
    <w:name w:val="ListLabel 7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75">
    <w:name w:val="ListLabel 7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76">
    <w:name w:val="ListLabel 7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77">
    <w:name w:val="ListLabel 7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8">
    <w:name w:val="ListLabel 7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9">
    <w:name w:val="ListLabel 7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0">
    <w:name w:val="ListLabel 80"/>
    <w:qFormat/>
    <w:rPr/>
  </w:style>
  <w:style w:type="character" w:styleId="ListLabel81">
    <w:name w:val="ListLabel 8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82">
    <w:name w:val="ListLabel 8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83">
    <w:name w:val="ListLabel 8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84">
    <w:name w:val="ListLabel 8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85">
    <w:name w:val="ListLabel 8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86">
    <w:name w:val="ListLabel 8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87">
    <w:name w:val="ListLabel 8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8">
    <w:name w:val="ListLabel 88"/>
    <w:qFormat/>
    <w:rPr/>
  </w:style>
  <w:style w:type="character" w:styleId="ListLabel89">
    <w:name w:val="ListLabel 8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bidi w:val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7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28" w:customStyle="1">
    <w:name w:val="Содержимое таблицы"/>
    <w:basedOn w:val="Normal"/>
    <w:qFormat/>
    <w:pPr>
      <w:suppressLineNumbers/>
    </w:pPr>
    <w:rPr/>
  </w:style>
  <w:style w:type="paragraph" w:styleId="Style29" w:customStyle="1">
    <w:name w:val="Заголовок таблицы"/>
    <w:basedOn w:val="Style28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vo.garant.ru/document?id=12025505&amp;sub=159" TargetMode="External"/><Relationship Id="rId3" Type="http://schemas.openxmlformats.org/officeDocument/2006/relationships/hyperlink" Target="https://www.roseltorg.ru/" TargetMode="External"/><Relationship Id="rId4" Type="http://schemas.openxmlformats.org/officeDocument/2006/relationships/hyperlink" Target="https://www.roseltorg.ru/" TargetMode="External"/><Relationship Id="rId5" Type="http://schemas.openxmlformats.org/officeDocument/2006/relationships/hyperlink" Target="consultantplus://offline/ref=8608A915A77589369BD2B7F347595D5ABC538B22E06FA735FD52FF4C23570EP" TargetMode="External"/><Relationship Id="rId6" Type="http://schemas.openxmlformats.org/officeDocument/2006/relationships/hyperlink" Target="consultantplus://offline/ref=8886142B30A1ED25946F3605BFB8077666AA29F7575C6D2C2FD59D8142AD0511DD20E07C6D1DA4B9D5ZBG" TargetMode="External"/><Relationship Id="rId7" Type="http://schemas.openxmlformats.org/officeDocument/2006/relationships/hyperlink" Target="http://www.torgi.gov.ru/" TargetMode="External"/><Relationship Id="rId8" Type="http://schemas.openxmlformats.org/officeDocument/2006/relationships/hyperlink" Target="http://www.roseltorg.ru/" TargetMode="Externa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Application>LibreOffice/6.1.5.2$Linux_X86_64 LibreOffice_project/10$Build-2</Application>
  <Pages>14</Pages>
  <Words>3392</Words>
  <Characters>23596</Characters>
  <CharactersWithSpaces>26733</CharactersWithSpaces>
  <Paragraphs>674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2021-02-02T15:05:38Z</cp:lastPrinted>
  <dcterms:modified xsi:type="dcterms:W3CDTF">2021-02-02T15:06:14Z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