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Информационное сообщение  № </w:t>
      </w:r>
      <w:r>
        <w:rPr>
          <w:rFonts w:cs="Times New Roman" w:ascii="Times New Roman" w:hAnsi="Times New Roman"/>
          <w:b/>
          <w:sz w:val="24"/>
          <w:szCs w:val="24"/>
        </w:rPr>
        <w:t>3</w:t>
      </w:r>
      <w:r>
        <w:rPr>
          <w:rFonts w:cs="Times New Roman" w:ascii="Times New Roman" w:hAnsi="Times New Roman"/>
          <w:b/>
          <w:sz w:val="24"/>
          <w:szCs w:val="24"/>
        </w:rPr>
        <w:t xml:space="preserve"> от «8» февраля 2021 года</w:t>
      </w:r>
    </w:p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о проведении продажи высвобождаемого движимого военного имущества </w:t>
      </w:r>
    </w:p>
    <w:p>
      <w:pPr>
        <w:pStyle w:val="Normal"/>
        <w:spacing w:lineRule="auto" w:line="240" w:before="0" w:after="0"/>
        <w:ind w:firstLine="561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посредством публичного предложения</w:t>
      </w:r>
      <w:bookmarkStart w:id="0" w:name="_GoBack1"/>
      <w:bookmarkEnd w:id="0"/>
      <w:r>
        <w:rPr>
          <w:rFonts w:cs="Times New Roman" w:ascii="Times New Roman" w:hAnsi="Times New Roman"/>
          <w:b/>
          <w:sz w:val="24"/>
          <w:szCs w:val="24"/>
        </w:rPr>
        <w:t xml:space="preserve"> 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889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01"/>
        <w:gridCol w:w="2559"/>
        <w:gridCol w:w="6529"/>
      </w:tblGrid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Департамента техники и вооружения Росгвардии (сопроводительное письмо от 17.10.2019 № 24/3144 )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-1" w:firstLine="318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военное имущество –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посуда - хозяйственное  имущество (имущество продовольственной службы).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Перечень и характеристика имущества указаны в Приложении № 1 к настоящему Информационному сообщению.</w:t>
            </w:r>
          </w:p>
          <w:p>
            <w:pPr>
              <w:pStyle w:val="Normal"/>
              <w:spacing w:lineRule="auto" w:line="240" w:before="0" w:after="200"/>
              <w:ind w:left="34" w:right="-1" w:firstLine="284"/>
              <w:jc w:val="both"/>
              <w:rPr/>
            </w:pPr>
            <w:r>
              <w:rPr>
                <w:rFonts w:eastAsia="Arial Unicode MS"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 xml:space="preserve">Местонахождение имущества –  </w:t>
            </w:r>
            <w:r>
              <w:rPr>
                <w:rFonts w:eastAsia="Arial Unicode MS" w:cs="Times New Roman"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 xml:space="preserve">в/ч 3494,Хабаровский край , Амурский  район , посёлок Эльбан, ул. Завадская 3 а .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 Постановлением Правительства РФ от 27 августа 2012 г. N 860.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>4699</w:t>
            </w:r>
            <w:bookmarkStart w:id="1" w:name="__DdeLink__3041_237539353511111111"/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>,</w:t>
            </w:r>
            <w:bookmarkEnd w:id="1"/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00 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руб.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Величина снижения начальной цены («шаг понижения»)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Не более 10 % от начальной цены продажи имущества - 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469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,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9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0  руб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более 50% от «шага понижения» -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234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,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95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 руб.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Фиксированная сумма, не изменяется в течение продажи.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Минимальная цена продажи («цена отсечения»)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38" w:leader="none"/>
              </w:tabs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Цена отсечения 50% начальной цены продажи.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2349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,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5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0 руб.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bookmarkStart w:id="2" w:name="sub_662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       </w:t>
            </w: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Денежные средства в счет оплаты государственного или муниципального имущества, подлежат перечислению победителем Балансодержателю в установленном порядке в бюджет соответствующего уровня бюджетной системы Российской Федерац</w:t>
            </w: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3</w:t>
            </w: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ии в размере и сроки, которые указаны в договоре купли-продажи имущества, в течении 15 рабочих дней со дня заключения такого договора</w:t>
            </w:r>
            <w:bookmarkEnd w:id="2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платежным реквизитам Балансодержателя</w:t>
            </w:r>
            <w:r>
              <w:rPr>
                <w:rFonts w:cs="Times New Roman" w:ascii="Times New Roman" w:hAnsi="Times New Roman"/>
                <w:color w:val="FF0000"/>
                <w:sz w:val="24"/>
                <w:szCs w:val="24"/>
              </w:rPr>
              <w:t>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      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20% от начальной цены реализации </w:t>
            </w: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- 939  ,80 руб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руб.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Для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участия в продаже высвобождаемого движимого военного имущества посредством публичного предложения претендент перечисляет в безналичном порядке денежные средства в валюте Российской Федерации на счет 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ИНН: 2720056970, КПП: 272001001,</w:t>
            </w:r>
            <w:r>
              <w:rPr>
                <w:rFonts w:cs="Times New Roman" w:ascii="Times New Roman" w:hAnsi="Times New Roman"/>
                <w:b w:val="false"/>
                <w:bCs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У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правление Федерального казначейства по Хабаровскому краю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, л/с 05221F91100), казначейский счет 0321164300000002200, ЕКС 40102810845370000014 </w:t>
            </w:r>
            <w:r>
              <w:rPr>
                <w:rFonts w:cs="Times New Roman" w:ascii="Times New Roman" w:hAnsi="Times New Roman"/>
                <w:b w:val="false"/>
                <w:bCs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О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ТДЕЛЕНИЕ ХАБАРОВСК БАНКА РОССИИ//УФК по Хабаровскому краю г. Хабаровск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, БИК 010813050, ОГРН 1172724007510, ОКПО 08721742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Normal"/>
              <w:spacing w:lineRule="auto" w:line="240" w:before="0" w:after="0"/>
              <w:ind w:firstLine="567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cs="Times New Roman" w:ascii="Times New Roman" w:hAnsi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«15» марта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2021 г. 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При перечислении суммы задатка в поле «Назначение платежа» платежного поручения обязательно указывается: «Задаток для участия в продаже, согласно информационному сообщению  № ___  от «__ » _______ 2021г. 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продажи посредством публичного предложения,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продаже посредством публичного предложения не допускается.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>
            <w:pPr>
              <w:pStyle w:val="Style21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/>
              <w:ind w:firstLine="600"/>
              <w:rPr/>
            </w:pPr>
            <w:r>
              <w:rPr/>
              <w:t>На денежные средства, перечисленные претендентом в качестве задатка, проценты не начисляются.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если претенденту было отказано в приеме заявки на участие в продаже посредством публичного предложения,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 в случае если претендент не допущен к участию в продаже посредством публичного предложения,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 в 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случае если участник не признан победителем продажи посредством публичного предложения, продавец обязуется возвратить сумму задатка на счет, указанный в заявке, в течение 5 (пяти) дней с даты подведения итогов продажи посредством публичного предложения;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отзыва претендентом в установленном порядке заявки на участие в продаже посредством публичного предложения до даты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продажи посредством публичного предложения;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- в случае признания продажи посредством публичного предложения несостоявшейся, продавец обязуется возвратить сумму задатка на счет участника, указанный в заявке, в течение 5 (пяти) дней с даты подведения итогов продажи посредством публичного предложения;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отмены проведения продажи посредством публичного предложения,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продажи посредством публичного предложения лицензируемым видом деятельности, осуществление которого в силу действующего законодательства возможно только при наличии соответствующей лицензии);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        </w:t>
            </w: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2">
              <w:r>
                <w:rPr>
                  <w:rStyle w:val="ListLabel20"/>
                  <w:rFonts w:eastAsia="" w:cs="Times New Roman CYR" w:ascii="Times New Roman CYR" w:hAnsi="Times New Roman CYR" w:eastAsiaTheme="minorEastAsia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о приватизации.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Заявка подается оператору Торговаой площадки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3"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Одно лицо имеет право подать только одну заявку. 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bookmarkStart w:id="3" w:name="sub_221"/>
            <w:bookmarkEnd w:id="3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        </w:t>
            </w: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начала приема заявок на участие в продаже посредством публичного предложения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«08»февраля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окончания приема заявок на участие в продаже посредством публичного предложения–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«08» марта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eastAsia="" w:cs="Times New Roman" w:ascii="Times New Roman" w:hAnsi="Times New Roman" w:eastAsiaTheme="minorEastAsia"/>
                <w:b/>
                <w:sz w:val="24"/>
                <w:szCs w:val="24"/>
                <w:lang w:eastAsia="ru-RU"/>
              </w:rPr>
              <w:t>Признание претендентов участниками торгов</w:t>
            </w:r>
            <w:bookmarkStart w:id="4" w:name="sub_701"/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 </w:t>
            </w:r>
            <w:bookmarkEnd w:id="4"/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«15» марта 2021 г.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</w:tc>
      </w:tr>
      <w:tr>
        <w:trPr>
          <w:trHeight w:val="791" w:hRule="atLeast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HTMLPreformatted"/>
              <w:ind w:firstLine="54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Проведение торгов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- «17» марта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 в 12 ч. 00 мин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  <w:bookmarkStart w:id="5" w:name="_GoBack11"/>
            <w:bookmarkEnd w:id="5"/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  <w:p>
            <w:pPr>
              <w:pStyle w:val="HTMLPreformatted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АО «ЕЭТП» или «Росэлторг») </w:t>
            </w:r>
            <w:hyperlink r:id="rId4">
              <w:r>
                <w:rPr>
                  <w:rStyle w:val="ListLabel23"/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>
                <w:rPr>
                  <w:rStyle w:val="ListLabel23"/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>
                <w:rPr>
                  <w:rStyle w:val="ListLabel23"/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HTMLPreformatted"/>
              <w:ind w:firstLine="540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5">
              <w:r>
                <w:rPr>
                  <w:rStyle w:val="ListLabel25"/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</w:t>
              <w:br/>
              <w:t>от 21 декабря 2001 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>
            <w:pPr>
              <w:pStyle w:val="ConsPlusNormal1"/>
              <w:widowControl/>
              <w:spacing w:lineRule="auto" w:line="24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>
            <w:pPr>
              <w:pStyle w:val="ConsPlusNormal1"/>
              <w:widowControl/>
              <w:spacing w:lineRule="auto" w:line="24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>
            <w:pPr>
              <w:pStyle w:val="ConsPlusNormal1"/>
              <w:widowControl/>
              <w:spacing w:lineRule="auto" w:line="24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результатам торгов продавец и победитель продажи посредством публичного предложения (покупатель) в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6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7">
              <w:r>
                <w:rPr>
                  <w:rStyle w:val="ListLabel27"/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8">
              <w:r>
                <w:rPr>
                  <w:rStyle w:val="ListLabel27"/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bookmarkStart w:id="6" w:name="_GoBack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+7(9</w:t>
            </w:r>
            <w:bookmarkEnd w:id="6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24)3015092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/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проводится в день и во время, указанное в информационном сообщении о продаже имущества посредством публичного предложения, путем последовательного понижения цены первоначального предложения (цена имущества, указанная в информационном сообщении) на величину, равную величине «шага понижения», но не ниже цены отсечения.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«Шаг понижения» устанавливается Продавцом в фиксированной сумме, составляющей не более 10 процентов цены первоначального предложения, и не изменяется в течение всей процедуры продажи имущества посредством публичного предложения.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«шаге понижения».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Победителем признается участник, который подтвердил цену первоначального предложения или цену предложения, сложившуюся на соответствующем «шаге понижения», при отсутствии предложений других участников.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В случае если несколько участников подтверждают цену первоначального предложения или цену предложения, сложившуюся на одном из «шагов понижения», со всеми участниками проводится аукцион в порядке, установленном разделом II Положения об организации и проведении продажи государственного или муниципального имущества в электронной форме (постановление Правительства Российской Федерации </w:t>
              <w:br/>
              <w:t>от 27 августа 2012 г. № 860 «Об организации и проведении продажи государственного или муниципального имущества в электронной форме»). Начальной ценой имущества на аукционе является соответственно цена первоначального предложения или цена предложения, сложившаяся на данном «шаге понижения». Время приема предложений участников о цене имущества составляет 10 минут. «Шаг аукциона» устанавливается Продавцом в фиксированной сумме, составляющей не более 50 процентов «шага понижения», и не изменяется в течение всей процедуры продажи имущества посредством публичного предложения.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случае если участники не заявляют предложения о цене, превышающей начальную цену имущества, победителем признается участник, который первым подтвердил начальную цену имущества.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Ход проведения процедуры продажи имущества посредством публичного предложения фиксируется Организатором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Протокол об итогах продажи имущества посредством публичного предложения, содержащий цену имущества, предложенную победителем, и удостоверяющий право победителя на заключение договора купли-продажи имущества, подписывается Продавцом в течение одного часа со времени получения от Организатора электронного журнала.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851"/>
              <w:jc w:val="both"/>
              <w:rPr/>
            </w:pPr>
            <w:bookmarkStart w:id="7" w:name="sub_91"/>
            <w:bookmarkEnd w:id="7"/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Calibri" w:hAnsi="Calibri" w:eastAsia="Calibri" w:cs="" w:asciiTheme="minorHAnsi" w:cstheme="minorBidi" w:eastAsiaTheme="minorHAnsi" w:hAnsiTheme="minorHAnsi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Продажа путем проведения аукциона.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о продаже имущества № 178fz181220000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24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от 20.12.2020 (аукцион признан не состоявшимся по основаниям отсутствия заявок на участие).</w:t>
            </w:r>
          </w:p>
        </w:tc>
      </w:tr>
    </w:tbl>
    <w:p>
      <w:pPr>
        <w:sectPr>
          <w:type w:val="nextPage"/>
          <w:pgSz w:w="11906" w:h="16838"/>
          <w:pgMar w:left="1134" w:right="624" w:header="0" w:top="624" w:footer="0" w:bottom="624" w:gutter="0"/>
          <w:pgNumType w:fmt="decimal"/>
          <w:formProt w:val="false"/>
          <w:textDirection w:val="lrTb"/>
          <w:docGrid w:type="default" w:linePitch="360" w:charSpace="4096"/>
        </w:sectPr>
      </w:pPr>
    </w:p>
    <w:p>
      <w:pPr>
        <w:pStyle w:val="Normal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tbl>
      <w:tblPr>
        <w:tblW w:w="9855" w:type="dxa"/>
        <w:jc w:val="left"/>
        <w:tblInd w:w="29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627"/>
        <w:gridCol w:w="3976"/>
        <w:gridCol w:w="1005"/>
        <w:gridCol w:w="1275"/>
        <w:gridCol w:w="1125"/>
        <w:gridCol w:w="1847"/>
      </w:tblGrid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Ед. изм.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% износа (засор)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Кормушки-пойлушки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bookmarkStart w:id="8" w:name="__DdeLink__378_402690461111111111"/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  <w:bookmarkEnd w:id="8"/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</w:tbl>
    <w:p>
      <w:pPr>
        <w:pStyle w:val="Normal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Приложение № 2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9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9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rPr/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Times New Roman CYR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NewRomanPSMT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1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character" w:styleId="ListLabel1" w:customStyle="1">
    <w:name w:val="ListLabel 1"/>
    <w:qFormat/>
    <w:rPr>
      <w:rFonts w:cs="Times New Roman"/>
      <w:sz w:val="28"/>
      <w:szCs w:val="28"/>
      <w:lang w:val="ru-RU"/>
    </w:rPr>
  </w:style>
  <w:style w:type="character" w:styleId="ListLabel2" w:customStyle="1">
    <w:name w:val="ListLabel 2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3" w:customStyle="1">
    <w:name w:val="ListLabel 3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4" w:customStyle="1">
    <w:name w:val="ListLabel 4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5" w:customStyle="1">
    <w:name w:val="ListLabel 5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6" w:customStyle="1">
    <w:name w:val="ListLabel 6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7" w:customStyle="1">
    <w:name w:val="ListLabel 7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8" w:customStyle="1">
    <w:name w:val="ListLabel 8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9" w:customStyle="1">
    <w:name w:val="ListLabel 9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10" w:customStyle="1">
    <w:name w:val="ListLabel 10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11" w:customStyle="1">
    <w:name w:val="ListLabel 11"/>
    <w:qFormat/>
    <w:rPr>
      <w:rFonts w:ascii="Times New Roman" w:hAnsi="Times New Roman" w:cs="Times New Roman"/>
      <w:sz w:val="24"/>
      <w:szCs w:val="24"/>
    </w:rPr>
  </w:style>
  <w:style w:type="character" w:styleId="ListLabel12" w:customStyle="1">
    <w:name w:val="ListLabel 12"/>
    <w:qFormat/>
    <w:rPr>
      <w:rFonts w:ascii="Times New Roman" w:hAnsi="Times New Roman" w:cs="Times New Roman"/>
      <w:sz w:val="24"/>
      <w:szCs w:val="24"/>
    </w:rPr>
  </w:style>
  <w:style w:type="character" w:styleId="ListLabel13" w:customStyle="1">
    <w:name w:val="ListLabel 13"/>
    <w:qFormat/>
    <w:rPr>
      <w:rFonts w:ascii="Times New Roman" w:hAnsi="Times New Roman" w:cs="Times New Roman"/>
      <w:sz w:val="24"/>
      <w:szCs w:val="24"/>
    </w:rPr>
  </w:style>
  <w:style w:type="character" w:styleId="ListLabel14" w:customStyle="1">
    <w:name w:val="ListLabel 14"/>
    <w:qFormat/>
    <w:rPr>
      <w:rFonts w:ascii="Times New Roman" w:hAnsi="Times New Roman" w:cs="Times New Roman"/>
      <w:sz w:val="24"/>
      <w:szCs w:val="24"/>
    </w:rPr>
  </w:style>
  <w:style w:type="character" w:styleId="ListLabel15" w:customStyle="1">
    <w:name w:val="ListLabel 15"/>
    <w:qFormat/>
    <w:rPr>
      <w:rFonts w:ascii="Times New Roman" w:hAnsi="Times New Roman" w:cs="Times New Roman"/>
      <w:sz w:val="24"/>
      <w:szCs w:val="24"/>
    </w:rPr>
  </w:style>
  <w:style w:type="character" w:styleId="ListLabel16" w:customStyle="1">
    <w:name w:val="ListLabel 16"/>
    <w:qFormat/>
    <w:rPr>
      <w:rFonts w:ascii="Times New Roman" w:hAnsi="Times New Roman" w:cs="Times New Roman"/>
      <w:sz w:val="24"/>
      <w:szCs w:val="24"/>
    </w:rPr>
  </w:style>
  <w:style w:type="character" w:styleId="ListLabel17" w:customStyle="1">
    <w:name w:val="ListLabel 17"/>
    <w:qFormat/>
    <w:rPr>
      <w:rFonts w:ascii="Times New Roman" w:hAnsi="Times New Roman" w:cs="Times New Roman"/>
      <w:sz w:val="24"/>
      <w:szCs w:val="24"/>
    </w:rPr>
  </w:style>
  <w:style w:type="character" w:styleId="ListLabel18" w:customStyle="1">
    <w:name w:val="ListLabel 18"/>
    <w:qFormat/>
    <w:rPr>
      <w:rFonts w:ascii="Times New Roman" w:hAnsi="Times New Roman" w:cs="Times New Roman"/>
      <w:sz w:val="24"/>
      <w:szCs w:val="24"/>
    </w:rPr>
  </w:style>
  <w:style w:type="character" w:styleId="ListLabel19" w:customStyle="1">
    <w:name w:val="ListLabel 19"/>
    <w:qFormat/>
    <w:rPr>
      <w:rFonts w:ascii="Times New Roman" w:hAnsi="Times New Roman" w:cs="Times New Roman"/>
      <w:sz w:val="24"/>
      <w:szCs w:val="24"/>
    </w:rPr>
  </w:style>
  <w:style w:type="character" w:styleId="ListLabel20">
    <w:name w:val="ListLabel 2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21">
    <w:name w:val="ListLabel 2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22">
    <w:name w:val="ListLabel 2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25">
    <w:name w:val="ListLabel 2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26">
    <w:name w:val="ListLabel 26"/>
    <w:qFormat/>
    <w:rPr/>
  </w:style>
  <w:style w:type="character" w:styleId="ListLabel27">
    <w:name w:val="ListLabel 2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35">
    <w:name w:val="ListLabel 35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36">
    <w:name w:val="ListLabel 3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38">
    <w:name w:val="ListLabel 38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40">
    <w:name w:val="ListLabel 40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41">
    <w:name w:val="ListLabel 41"/>
    <w:qFormat/>
    <w:rPr/>
  </w:style>
  <w:style w:type="character" w:styleId="ListLabel42">
    <w:name w:val="ListLabel 4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43">
    <w:name w:val="ListLabel 4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44">
    <w:name w:val="ListLabel 4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45">
    <w:name w:val="ListLabel 4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46">
    <w:name w:val="ListLabel 4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47">
    <w:name w:val="ListLabel 4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48">
    <w:name w:val="ListLabel 48"/>
    <w:qFormat/>
    <w:rPr/>
  </w:style>
  <w:style w:type="character" w:styleId="ListLabel49">
    <w:name w:val="ListLabel 4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50">
    <w:name w:val="ListLabel 5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51">
    <w:name w:val="ListLabel 5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52">
    <w:name w:val="ListLabel 5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53">
    <w:name w:val="ListLabel 5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54">
    <w:name w:val="ListLabel 5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55">
    <w:name w:val="ListLabel 5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56">
    <w:name w:val="ListLabel 56"/>
    <w:qFormat/>
    <w:rPr/>
  </w:style>
  <w:style w:type="character" w:styleId="ListLabel57">
    <w:name w:val="ListLabel 5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FontStyle18">
    <w:name w:val="Font Style18"/>
    <w:basedOn w:val="DefaultParagraphFont"/>
    <w:qFormat/>
    <w:rPr>
      <w:rFonts w:ascii="Times New Roman" w:hAnsi="Times New Roman" w:cs="Times New Roman"/>
      <w:sz w:val="24"/>
      <w:szCs w:val="24"/>
    </w:rPr>
  </w:style>
  <w:style w:type="character" w:styleId="ListLabel58">
    <w:name w:val="ListLabel 5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59">
    <w:name w:val="ListLabel 5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60">
    <w:name w:val="ListLabel 6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61">
    <w:name w:val="ListLabel 6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62">
    <w:name w:val="ListLabel 6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63">
    <w:name w:val="ListLabel 6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64">
    <w:name w:val="ListLabel 64"/>
    <w:qFormat/>
    <w:rPr/>
  </w:style>
  <w:style w:type="character" w:styleId="ListLabel65">
    <w:name w:val="ListLabel 6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66">
    <w:name w:val="ListLabel 66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67">
    <w:name w:val="ListLabel 67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68">
    <w:name w:val="ListLabel 68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69">
    <w:name w:val="ListLabel 69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70">
    <w:name w:val="ListLabel 70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71">
    <w:name w:val="ListLabel 71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72">
    <w:name w:val="ListLabel 72"/>
    <w:qFormat/>
    <w:rPr/>
  </w:style>
  <w:style w:type="character" w:styleId="ListLabel73">
    <w:name w:val="ListLabel 73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74">
    <w:name w:val="ListLabel 74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75">
    <w:name w:val="ListLabel 75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76">
    <w:name w:val="ListLabel 76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77">
    <w:name w:val="ListLabel 77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78">
    <w:name w:val="ListLabel 78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79">
    <w:name w:val="ListLabel 79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80">
    <w:name w:val="ListLabel 80"/>
    <w:qFormat/>
    <w:rPr/>
  </w:style>
  <w:style w:type="character" w:styleId="ListLabel81">
    <w:name w:val="ListLabel 81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82">
    <w:name w:val="ListLabel 8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83">
    <w:name w:val="ListLabel 8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84">
    <w:name w:val="ListLabel 8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85">
    <w:name w:val="ListLabel 8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86">
    <w:name w:val="ListLabel 8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87">
    <w:name w:val="ListLabel 8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88">
    <w:name w:val="ListLabel 88"/>
    <w:qFormat/>
    <w:rPr/>
  </w:style>
  <w:style w:type="character" w:styleId="ListLabel89">
    <w:name w:val="ListLabel 8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90">
    <w:name w:val="ListLabel 9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91">
    <w:name w:val="ListLabel 9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92">
    <w:name w:val="ListLabel 9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93">
    <w:name w:val="ListLabel 9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94">
    <w:name w:val="ListLabel 9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95">
    <w:name w:val="ListLabel 9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96">
    <w:name w:val="ListLabel 96"/>
    <w:qFormat/>
    <w:rPr/>
  </w:style>
  <w:style w:type="character" w:styleId="ListLabel97">
    <w:name w:val="ListLabel 9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98">
    <w:name w:val="ListLabel 9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99">
    <w:name w:val="ListLabel 9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00">
    <w:name w:val="ListLabel 10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01">
    <w:name w:val="ListLabel 10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02">
    <w:name w:val="ListLabel 10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03">
    <w:name w:val="ListLabel 10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04">
    <w:name w:val="ListLabel 104"/>
    <w:qFormat/>
    <w:rPr/>
  </w:style>
  <w:style w:type="character" w:styleId="ListLabel105">
    <w:name w:val="ListLabel 10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paragraph" w:styleId="Style20" w:customStyle="1">
    <w:name w:val="Заголовок"/>
    <w:basedOn w:val="Normal"/>
    <w:next w:val="Style21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1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2">
    <w:name w:val="List"/>
    <w:basedOn w:val="Style21"/>
    <w:pPr/>
    <w:rPr>
      <w:rFonts w:cs="Noto Sans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bidi w:val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bidi w:val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5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7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28" w:customStyle="1">
    <w:name w:val="Содержимое таблицы"/>
    <w:basedOn w:val="Normal"/>
    <w:qFormat/>
    <w:pPr>
      <w:suppressLineNumbers/>
    </w:pPr>
    <w:rPr/>
  </w:style>
  <w:style w:type="paragraph" w:styleId="Style29" w:customStyle="1">
    <w:name w:val="Заголовок таблицы"/>
    <w:basedOn w:val="Style28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7">
    <w:name w:val="Table Grid"/>
    <w:basedOn w:val="a1"/>
    <w:uiPriority w:val="59"/>
    <w:rsid w:val="007d650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ivo.garant.ru/document?id=12025505&amp;sub=159" TargetMode="External"/><Relationship Id="rId3" Type="http://schemas.openxmlformats.org/officeDocument/2006/relationships/hyperlink" Target="https://www.roseltorg.ru/" TargetMode="External"/><Relationship Id="rId4" Type="http://schemas.openxmlformats.org/officeDocument/2006/relationships/hyperlink" Target="https://www.roseltorg.ru/" TargetMode="External"/><Relationship Id="rId5" Type="http://schemas.openxmlformats.org/officeDocument/2006/relationships/hyperlink" Target="consultantplus://offline/ref=8608A915A77589369BD2B7F347595D5ABC538B22E06FA735FD52FF4C23570EP" TargetMode="External"/><Relationship Id="rId6" Type="http://schemas.openxmlformats.org/officeDocument/2006/relationships/hyperlink" Target="consultantplus://offline/ref=8886142B30A1ED25946F3605BFB8077666AA29F7575C6D2C2FD59D8142AD0511DD20E07C6D1DA4B9D5ZBG" TargetMode="External"/><Relationship Id="rId7" Type="http://schemas.openxmlformats.org/officeDocument/2006/relationships/hyperlink" Target="http://www.torgi.gov.ru/" TargetMode="External"/><Relationship Id="rId8" Type="http://schemas.openxmlformats.org/officeDocument/2006/relationships/hyperlink" Target="http://www.roseltorg.ru/" TargetMode="Externa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Application>LibreOffice/6.1.5.2$Linux_X86_64 LibreOffice_project/10$Build-2</Application>
  <Pages>11</Pages>
  <Words>2590</Words>
  <Characters>20279</Characters>
  <CharactersWithSpaces>23074</CharactersWithSpaces>
  <Paragraphs>194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2020-10-24T03:17:00Z</dcterms:created>
  <dc:creator>Лукьянов Алексей Анатольевич</dc:creator>
  <dc:description/>
  <dc:language>ru-RU</dc:language>
  <cp:lastModifiedBy/>
  <cp:lastPrinted>2021-02-08T08:44:17Z</cp:lastPrinted>
  <dcterms:modified xsi:type="dcterms:W3CDTF">2021-02-08T09:27:38Z</dcterms:modified>
  <cp:revision>21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