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Override PartName="/word/numbering.xml" ContentType="application/vnd.openxmlformats-officedocument.wordprocessingml.numbering+xml"/>
  <Override PartName="/word/document.xml" ContentType="application/vnd.openxmlformats-officedocument.wordprocessingml.document.main+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pPr>
      <w:r>
        <w:rPr>
          <w:rFonts w:cs="Times New Roman" w:ascii="Times New Roman" w:hAnsi="Times New Roman"/>
          <w:sz w:val="28"/>
          <w:szCs w:val="28"/>
        </w:rPr>
        <w:t xml:space="preserve">Информационное сообщение № </w:t>
      </w:r>
      <w:r>
        <w:rPr>
          <w:rFonts w:cs="Times New Roman" w:ascii="Times New Roman" w:hAnsi="Times New Roman"/>
          <w:sz w:val="28"/>
          <w:szCs w:val="28"/>
          <w:u w:val="single"/>
        </w:rPr>
        <w:t>2-</w:t>
      </w:r>
      <w:r>
        <w:rPr>
          <w:rFonts w:eastAsia="Calibri" w:cs="Times New Roman" w:ascii="Times New Roman" w:hAnsi="Times New Roman" w:eastAsiaTheme="minorHAnsi"/>
          <w:color w:val="auto"/>
          <w:kern w:val="0"/>
          <w:sz w:val="28"/>
          <w:szCs w:val="28"/>
          <w:u w:val="single"/>
          <w:lang w:val="ru-RU" w:eastAsia="en-US" w:bidi="ar-SA"/>
        </w:rPr>
        <w:t>2 МТС</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о продаже государственного имущества </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посредством публичного предложения</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bl>
      <w:tblPr>
        <w:tblStyle w:val="af0"/>
        <w:tblW w:w="9782" w:type="dxa"/>
        <w:jc w:val="left"/>
        <w:tblInd w:w="-318" w:type="dxa"/>
        <w:tblCellMar>
          <w:top w:w="0" w:type="dxa"/>
          <w:left w:w="108" w:type="dxa"/>
          <w:bottom w:w="0" w:type="dxa"/>
          <w:right w:w="108" w:type="dxa"/>
        </w:tblCellMar>
        <w:tblLook w:val="04a0" w:noVBand="1" w:noHBand="0" w:lastColumn="0" w:firstColumn="1" w:lastRow="0" w:firstRow="1"/>
      </w:tblPr>
      <w:tblGrid>
        <w:gridCol w:w="538"/>
        <w:gridCol w:w="3858"/>
        <w:gridCol w:w="5386"/>
      </w:tblGrid>
      <w:tr>
        <w:trPr>
          <w:tblHeader w:val="true"/>
        </w:trPr>
        <w:tc>
          <w:tcPr>
            <w:tcW w:w="538" w:type="dxa"/>
            <w:tcBorders/>
            <w:shd w:color="auto" w:fill="auto" w:val="clear"/>
          </w:tcPr>
          <w:p>
            <w:pPr>
              <w:pStyle w:val="Normal"/>
              <w:widowControl/>
              <w:tabs>
                <w:tab w:val="clear" w:pos="708"/>
                <w:tab w:val="left" w:pos="627" w:leader="none"/>
              </w:tabs>
              <w:suppressAutoHyphens w:val="true"/>
              <w:bidi w:val="0"/>
              <w:spacing w:lineRule="auto" w:line="240" w:before="0" w:after="0"/>
              <w:ind w:left="-170" w:right="0" w:hanging="0"/>
              <w:jc w:val="center"/>
              <w:rPr>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858" w:type="dxa"/>
            <w:tcBorders/>
            <w:shd w:color="auto" w:fill="auto" w:val="clear"/>
          </w:tcPr>
          <w:p>
            <w:pPr>
              <w:pStyle w:val="Normal"/>
              <w:spacing w:lineRule="auto" w:line="240" w:before="0" w:after="0"/>
              <w:jc w:val="center"/>
              <w:rPr/>
            </w:pPr>
            <w:r>
              <w:rPr>
                <w:rFonts w:cs="Times New Roman" w:ascii="Times New Roman" w:hAnsi="Times New Roman"/>
                <w:sz w:val="24"/>
                <w:szCs w:val="24"/>
              </w:rPr>
              <w:t>Наименование сведений</w:t>
            </w:r>
          </w:p>
        </w:tc>
        <w:tc>
          <w:tcPr>
            <w:tcW w:w="5386" w:type="dxa"/>
            <w:tcBorders/>
            <w:shd w:color="auto" w:fill="auto" w:val="clear"/>
          </w:tcPr>
          <w:p>
            <w:pPr>
              <w:pStyle w:val="Normal"/>
              <w:spacing w:lineRule="auto" w:line="240" w:before="0" w:after="0"/>
              <w:jc w:val="center"/>
              <w:rPr/>
            </w:pPr>
            <w:r>
              <w:rPr>
                <w:rFonts w:cs="Times New Roman" w:ascii="Times New Roman" w:hAnsi="Times New Roman"/>
                <w:sz w:val="24"/>
                <w:szCs w:val="24"/>
              </w:rPr>
              <w:t>Информация</w:t>
            </w:r>
          </w:p>
        </w:tc>
      </w:tr>
      <w:tr>
        <w:trPr/>
        <w:tc>
          <w:tcPr>
            <w:tcW w:w="538" w:type="dxa"/>
            <w:tcBorders/>
            <w:shd w:color="auto" w:fill="auto" w:val="clear"/>
          </w:tcPr>
          <w:p>
            <w:pPr>
              <w:pStyle w:val="Normal"/>
              <w:spacing w:lineRule="auto" w:line="240" w:before="0" w:after="0"/>
              <w:jc w:val="center"/>
              <w:rPr/>
            </w:pPr>
            <w:r>
              <w:rPr>
                <w:rFonts w:cs="Times New Roman" w:ascii="Times New Roman" w:hAnsi="Times New Roman"/>
                <w:sz w:val="24"/>
                <w:szCs w:val="24"/>
              </w:rPr>
              <w:t>1</w:t>
            </w:r>
          </w:p>
        </w:tc>
        <w:tc>
          <w:tcPr>
            <w:tcW w:w="3858" w:type="dxa"/>
            <w:tcBorders/>
            <w:shd w:color="auto" w:fill="auto" w:val="clear"/>
          </w:tcPr>
          <w:p>
            <w:pPr>
              <w:pStyle w:val="Normal"/>
              <w:spacing w:lineRule="auto" w:line="240" w:before="0" w:after="0"/>
              <w:rPr/>
            </w:pPr>
            <w:r>
              <w:rPr>
                <w:rFonts w:cs="Times New Roman" w:ascii="Times New Roman" w:hAnsi="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Федеральная служба войск национальной гвардии Российской Федерации.</w:t>
            </w:r>
          </w:p>
          <w:p>
            <w:pPr>
              <w:pStyle w:val="Normal"/>
              <w:spacing w:lineRule="auto" w:line="240" w:before="0" w:after="0"/>
              <w:ind w:firstLine="318"/>
              <w:jc w:val="both"/>
              <w:rPr/>
            </w:pPr>
            <w:r>
              <w:rPr>
                <w:rFonts w:cs="Times New Roman" w:ascii="Times New Roman" w:hAnsi="Times New Roman"/>
                <w:sz w:val="24"/>
                <w:szCs w:val="24"/>
              </w:rPr>
              <w:t>Распоряжение от 27.11.2019 г. №1/838-Р.</w:t>
            </w:r>
          </w:p>
        </w:tc>
      </w:tr>
      <w:tr>
        <w:trPr>
          <w:trHeight w:val="1389" w:hRule="atLeast"/>
        </w:trPr>
        <w:tc>
          <w:tcPr>
            <w:tcW w:w="538" w:type="dxa"/>
            <w:tcBorders/>
            <w:shd w:color="auto" w:fill="auto" w:val="clear"/>
          </w:tcPr>
          <w:p>
            <w:pPr>
              <w:pStyle w:val="Normal"/>
              <w:spacing w:lineRule="auto" w:line="240" w:before="0" w:after="0"/>
              <w:jc w:val="center"/>
              <w:rPr/>
            </w:pPr>
            <w:r>
              <w:rPr>
                <w:rFonts w:cs="Times New Roman" w:ascii="Times New Roman" w:hAnsi="Times New Roman"/>
                <w:sz w:val="24"/>
                <w:szCs w:val="24"/>
              </w:rPr>
              <w:t>2</w:t>
            </w:r>
          </w:p>
        </w:tc>
        <w:tc>
          <w:tcPr>
            <w:tcW w:w="3858" w:type="dxa"/>
            <w:tcBorders/>
            <w:shd w:color="auto" w:fill="auto" w:val="clear"/>
          </w:tcPr>
          <w:p>
            <w:pPr>
              <w:pStyle w:val="Normal"/>
              <w:spacing w:lineRule="auto" w:line="240" w:before="0" w:after="0"/>
              <w:rPr/>
            </w:pPr>
            <w:r>
              <w:rPr>
                <w:rFonts w:cs="Times New Roman" w:ascii="Times New Roman" w:hAnsi="Times New Roman"/>
                <w:sz w:val="24"/>
                <w:szCs w:val="24"/>
              </w:rPr>
              <w:t>Наименование имущества и иные позволяющие его индивидуализировать сведения (характеристика имущества)</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Движимое военное имущество (кроме вооружения и боеприпасов):</w:t>
            </w:r>
          </w:p>
          <w:p>
            <w:pPr>
              <w:pStyle w:val="Normal"/>
              <w:spacing w:lineRule="auto" w:line="240" w:before="0" w:after="0"/>
              <w:ind w:firstLine="318"/>
              <w:jc w:val="both"/>
              <w:rPr/>
            </w:pPr>
            <w:r>
              <w:rPr>
                <w:rFonts w:cs="Times New Roman" w:ascii="Times New Roman" w:hAnsi="Times New Roman"/>
                <w:sz w:val="24"/>
                <w:szCs w:val="24"/>
              </w:rPr>
              <w:t xml:space="preserve">а) </w:t>
            </w:r>
            <w:r>
              <w:rPr>
                <w:rFonts w:eastAsia="Calibri" w:cs="Times New Roman" w:ascii="Times New Roman" w:hAnsi="Times New Roman"/>
                <w:sz w:val="24"/>
                <w:szCs w:val="24"/>
              </w:rPr>
              <w:t xml:space="preserve">Прибор «АМ-65» </w:t>
            </w:r>
            <w:r>
              <w:rPr>
                <w:rFonts w:cs="Times New Roman" w:ascii="Times New Roman" w:hAnsi="Times New Roman"/>
                <w:sz w:val="24"/>
                <w:szCs w:val="24"/>
              </w:rPr>
              <w:t xml:space="preserve"> Перечень имущества указан в Приложении №1.</w:t>
            </w:r>
          </w:p>
        </w:tc>
      </w:tr>
      <w:tr>
        <w:trPr/>
        <w:tc>
          <w:tcPr>
            <w:tcW w:w="538" w:type="dxa"/>
            <w:tcBorders/>
            <w:shd w:color="auto" w:fill="auto" w:val="clear"/>
          </w:tcPr>
          <w:p>
            <w:pPr>
              <w:pStyle w:val="Normal"/>
              <w:spacing w:lineRule="auto" w:line="240" w:before="0" w:after="0"/>
              <w:jc w:val="center"/>
              <w:rPr/>
            </w:pPr>
            <w:r>
              <w:rPr>
                <w:rFonts w:cs="Times New Roman" w:ascii="Times New Roman" w:hAnsi="Times New Roman"/>
                <w:sz w:val="24"/>
                <w:szCs w:val="24"/>
              </w:rPr>
              <w:t>3</w:t>
            </w:r>
          </w:p>
        </w:tc>
        <w:tc>
          <w:tcPr>
            <w:tcW w:w="3858" w:type="dxa"/>
            <w:tcBorders/>
            <w:shd w:color="auto" w:fill="auto" w:val="clear"/>
          </w:tcPr>
          <w:p>
            <w:pPr>
              <w:pStyle w:val="Normal"/>
              <w:spacing w:lineRule="auto" w:line="240" w:before="0" w:after="0"/>
              <w:rPr/>
            </w:pPr>
            <w:r>
              <w:rPr>
                <w:rFonts w:cs="Times New Roman" w:ascii="Times New Roman" w:hAnsi="Times New Roman"/>
                <w:sz w:val="24"/>
                <w:szCs w:val="24"/>
              </w:rPr>
              <w:t>Способ приватизации имущества</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Продажа государственного имущества посредством публичного предложения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rHeight w:val="1695" w:hRule="atLeast"/>
        </w:trPr>
        <w:tc>
          <w:tcPr>
            <w:tcW w:w="538" w:type="dxa"/>
            <w:tcBorders/>
            <w:shd w:color="auto" w:fill="auto" w:val="clear"/>
          </w:tcPr>
          <w:p>
            <w:pPr>
              <w:pStyle w:val="Normal"/>
              <w:spacing w:lineRule="auto" w:line="240" w:before="0" w:after="0"/>
              <w:jc w:val="center"/>
              <w:rPr/>
            </w:pPr>
            <w:r>
              <w:rPr>
                <w:rFonts w:cs="Times New Roman" w:ascii="Times New Roman" w:hAnsi="Times New Roman"/>
                <w:sz w:val="24"/>
                <w:szCs w:val="24"/>
              </w:rPr>
              <w:t>4</w:t>
            </w:r>
          </w:p>
        </w:tc>
        <w:tc>
          <w:tcPr>
            <w:tcW w:w="3858" w:type="dxa"/>
            <w:tcBorders/>
            <w:shd w:color="auto" w:fill="auto" w:val="clear"/>
          </w:tcPr>
          <w:p>
            <w:pPr>
              <w:pStyle w:val="Normal"/>
              <w:spacing w:lineRule="auto" w:line="240" w:before="0" w:after="0"/>
              <w:rPr/>
            </w:pPr>
            <w:r>
              <w:rPr>
                <w:rFonts w:cs="Times New Roman" w:ascii="Times New Roman" w:hAnsi="Times New Roman"/>
                <w:sz w:val="24"/>
                <w:szCs w:val="24"/>
              </w:rPr>
              <w:t>Начальная цена продажи имущества</w:t>
            </w:r>
          </w:p>
        </w:tc>
        <w:tc>
          <w:tcPr>
            <w:tcW w:w="5386" w:type="dxa"/>
            <w:tcBorders/>
            <w:shd w:color="auto" w:fill="auto" w:val="clear"/>
          </w:tcPr>
          <w:p>
            <w:pPr>
              <w:pStyle w:val="Normal"/>
              <w:spacing w:lineRule="auto" w:line="240" w:before="0" w:after="0"/>
              <w:ind w:firstLine="318"/>
              <w:jc w:val="both"/>
              <w:rPr>
                <w:color w:val="000000"/>
              </w:rPr>
            </w:pPr>
            <w:r>
              <w:rPr>
                <w:rFonts w:eastAsia="Calibri" w:cs="Times New Roman" w:ascii="Times New Roman" w:hAnsi="Times New Roman"/>
                <w:b/>
                <w:bCs w:val="false"/>
                <w:color w:val="000000"/>
                <w:sz w:val="24"/>
                <w:szCs w:val="24"/>
              </w:rPr>
              <w:t xml:space="preserve">546 </w:t>
            </w:r>
            <w:r>
              <w:rPr>
                <w:rFonts w:cs="Times New Roman" w:ascii="Times New Roman" w:hAnsi="Times New Roman"/>
                <w:b/>
                <w:bCs w:val="false"/>
                <w:color w:val="000000"/>
                <w:sz w:val="24"/>
                <w:szCs w:val="24"/>
              </w:rPr>
              <w:t>руб. 66 коп.</w:t>
            </w:r>
          </w:p>
          <w:p>
            <w:pPr>
              <w:pStyle w:val="Normal"/>
              <w:spacing w:lineRule="auto" w:line="240" w:before="0" w:after="0"/>
              <w:ind w:firstLine="318"/>
              <w:jc w:val="both"/>
              <w:rPr>
                <w:rFonts w:ascii="Times New Roman" w:hAnsi="Times New Roman" w:cs="Times New Roman"/>
                <w:b/>
                <w:b/>
                <w:color w:val="000000"/>
                <w:sz w:val="24"/>
                <w:szCs w:val="24"/>
              </w:rPr>
            </w:pPr>
            <w:r>
              <w:rPr>
                <w:rFonts w:cs="Times New Roman" w:ascii="Times New Roman" w:hAnsi="Times New Roman"/>
                <w:b w:val="false"/>
                <w:bCs w:val="false"/>
                <w:color w:val="000000"/>
                <w:sz w:val="24"/>
                <w:szCs w:val="24"/>
              </w:rPr>
              <w:t>Оценка имущества произведена в соответствии с Федеральным законом от 29.07.1998г. № 135-ФЗ «Об оценочной деятельности в Российской Федерации» (отчет об оценке № 170521/48</w:t>
            </w:r>
            <w:r>
              <w:rPr>
                <w:rFonts w:cs="Times New Roman" w:ascii="Times New Roman" w:hAnsi="Times New Roman"/>
                <w:b w:val="false"/>
                <w:bCs w:val="false"/>
                <w:color w:val="000000"/>
                <w:sz w:val="24"/>
                <w:szCs w:val="24"/>
              </w:rPr>
              <w:t>09</w:t>
            </w:r>
            <w:r>
              <w:rPr>
                <w:rFonts w:cs="Times New Roman" w:ascii="Times New Roman" w:hAnsi="Times New Roman"/>
                <w:b w:val="false"/>
                <w:bCs w:val="false"/>
                <w:color w:val="000000"/>
                <w:sz w:val="24"/>
                <w:szCs w:val="24"/>
              </w:rPr>
              <w:t xml:space="preserve"> от 17.05.2021г.)</w:t>
            </w:r>
          </w:p>
        </w:tc>
      </w:tr>
      <w:tr>
        <w:trPr/>
        <w:tc>
          <w:tcPr>
            <w:tcW w:w="538" w:type="dxa"/>
            <w:tcBorders/>
            <w:shd w:color="auto" w:fill="auto" w:val="clear"/>
          </w:tcPr>
          <w:p>
            <w:pPr>
              <w:pStyle w:val="Normal"/>
              <w:spacing w:lineRule="auto" w:line="240" w:before="0" w:after="0"/>
              <w:jc w:val="center"/>
              <w:rPr/>
            </w:pPr>
            <w:r>
              <w:rPr>
                <w:rFonts w:cs="Times New Roman" w:ascii="Times New Roman" w:hAnsi="Times New Roman"/>
                <w:sz w:val="24"/>
                <w:szCs w:val="24"/>
              </w:rPr>
              <w:t>4.1</w:t>
            </w:r>
          </w:p>
        </w:tc>
        <w:tc>
          <w:tcPr>
            <w:tcW w:w="3858" w:type="dxa"/>
            <w:tcBorders/>
            <w:shd w:color="auto" w:fill="auto" w:val="clear"/>
          </w:tcPr>
          <w:p>
            <w:pPr>
              <w:pStyle w:val="Normal"/>
              <w:spacing w:lineRule="auto" w:line="240" w:before="0" w:after="0"/>
              <w:rPr/>
            </w:pPr>
            <w:r>
              <w:rPr>
                <w:rFonts w:cs="Times New Roman" w:ascii="Times New Roman" w:hAnsi="Times New Roman"/>
                <w:sz w:val="24"/>
                <w:szCs w:val="24"/>
              </w:rPr>
              <w:t xml:space="preserve">Минимальная цена продажи («цена отсечения») </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 xml:space="preserve">Цена отсечения 50% начальной цены продажи, составляет </w:t>
            </w:r>
            <w:r>
              <w:rPr>
                <w:rFonts w:eastAsia="Calibri" w:cs="Times New Roman" w:ascii="Times New Roman" w:hAnsi="Times New Roman" w:eastAsiaTheme="minorHAnsi"/>
                <w:color w:val="auto"/>
                <w:kern w:val="0"/>
                <w:sz w:val="24"/>
                <w:szCs w:val="24"/>
                <w:lang w:val="ru-RU" w:eastAsia="en-US" w:bidi="ar-SA"/>
              </w:rPr>
              <w:t>273</w:t>
            </w:r>
            <w:r>
              <w:rPr>
                <w:rFonts w:cs="Times New Roman" w:ascii="Times New Roman" w:hAnsi="Times New Roman"/>
                <w:b w:val="false"/>
                <w:bCs w:val="false"/>
                <w:sz w:val="24"/>
                <w:szCs w:val="24"/>
              </w:rPr>
              <w:t xml:space="preserve"> руб. </w:t>
            </w:r>
            <w:r>
              <w:rPr>
                <w:rFonts w:eastAsia="Calibri" w:cs="Times New Roman" w:ascii="Times New Roman" w:hAnsi="Times New Roman" w:eastAsiaTheme="minorHAnsi"/>
                <w:b w:val="false"/>
                <w:bCs w:val="false"/>
                <w:color w:val="000000"/>
                <w:kern w:val="0"/>
                <w:sz w:val="24"/>
                <w:szCs w:val="24"/>
                <w:lang w:val="ru-RU" w:eastAsia="en-US" w:bidi="ar-SA"/>
              </w:rPr>
              <w:t>33</w:t>
            </w:r>
            <w:r>
              <w:rPr>
                <w:rFonts w:cs="Times New Roman" w:ascii="Times New Roman" w:hAnsi="Times New Roman"/>
                <w:b w:val="false"/>
                <w:bCs w:val="false"/>
                <w:sz w:val="24"/>
                <w:szCs w:val="24"/>
              </w:rPr>
              <w:t xml:space="preserve"> коп.</w:t>
            </w:r>
          </w:p>
        </w:tc>
      </w:tr>
      <w:tr>
        <w:trPr/>
        <w:tc>
          <w:tcPr>
            <w:tcW w:w="538" w:type="dxa"/>
            <w:tcBorders/>
            <w:shd w:color="auto" w:fill="auto" w:val="clear"/>
          </w:tcPr>
          <w:p>
            <w:pPr>
              <w:pStyle w:val="Normal"/>
              <w:spacing w:lineRule="auto" w:line="240" w:before="0" w:after="0"/>
              <w:jc w:val="center"/>
              <w:rPr/>
            </w:pPr>
            <w:r>
              <w:rPr>
                <w:rFonts w:cs="Times New Roman" w:ascii="Times New Roman" w:hAnsi="Times New Roman"/>
                <w:sz w:val="24"/>
                <w:szCs w:val="24"/>
              </w:rPr>
              <w:t>4.2</w:t>
            </w:r>
          </w:p>
        </w:tc>
        <w:tc>
          <w:tcPr>
            <w:tcW w:w="3858" w:type="dxa"/>
            <w:tcBorders/>
            <w:shd w:color="auto" w:fill="auto" w:val="clear"/>
          </w:tcPr>
          <w:p>
            <w:pPr>
              <w:pStyle w:val="Normal"/>
              <w:spacing w:lineRule="auto" w:line="240" w:before="0" w:after="0"/>
              <w:rPr/>
            </w:pPr>
            <w:r>
              <w:rPr>
                <w:rFonts w:cs="Times New Roman" w:ascii="Times New Roman" w:hAnsi="Times New Roman"/>
                <w:sz w:val="24"/>
                <w:szCs w:val="24"/>
              </w:rPr>
              <w:t>Величина снижения начальной цены («шаг понижения»)</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Фиксированная сумма.</w:t>
            </w:r>
          </w:p>
          <w:p>
            <w:pPr>
              <w:pStyle w:val="Normal"/>
              <w:spacing w:lineRule="auto" w:line="240" w:before="0" w:after="0"/>
              <w:ind w:firstLine="318"/>
              <w:jc w:val="both"/>
              <w:rPr/>
            </w:pPr>
            <w:r>
              <w:rPr>
                <w:rFonts w:eastAsia="Calibri" w:cs="Times New Roman" w:ascii="Times New Roman" w:hAnsi="Times New Roman" w:eastAsiaTheme="minorHAnsi"/>
                <w:b/>
                <w:color w:val="auto"/>
                <w:kern w:val="0"/>
                <w:sz w:val="24"/>
                <w:szCs w:val="24"/>
                <w:lang w:val="ru-RU" w:eastAsia="en-US" w:bidi="ar-SA"/>
              </w:rPr>
              <w:t>50</w:t>
            </w:r>
            <w:r>
              <w:rPr>
                <w:rFonts w:cs="Times New Roman" w:ascii="Times New Roman" w:hAnsi="Times New Roman"/>
                <w:b/>
                <w:sz w:val="24"/>
                <w:szCs w:val="24"/>
              </w:rPr>
              <w:t xml:space="preserve"> руб. 00 коп. </w:t>
            </w:r>
          </w:p>
          <w:p>
            <w:pPr>
              <w:pStyle w:val="Normal"/>
              <w:spacing w:lineRule="auto" w:line="240" w:before="0" w:after="0"/>
              <w:ind w:firstLine="318"/>
              <w:jc w:val="both"/>
              <w:rPr/>
            </w:pPr>
            <w:r>
              <w:rPr>
                <w:rFonts w:cs="Times New Roman" w:ascii="Times New Roman" w:hAnsi="Times New Roman"/>
                <w:sz w:val="24"/>
                <w:szCs w:val="24"/>
              </w:rPr>
              <w:t>Не изменяется в течение продажи.</w:t>
            </w:r>
          </w:p>
        </w:tc>
      </w:tr>
      <w:tr>
        <w:trPr/>
        <w:tc>
          <w:tcPr>
            <w:tcW w:w="538" w:type="dxa"/>
            <w:tcBorders/>
            <w:shd w:color="auto" w:fill="auto" w:val="clear"/>
          </w:tcPr>
          <w:p>
            <w:pPr>
              <w:pStyle w:val="Normal"/>
              <w:spacing w:lineRule="auto" w:line="240" w:before="0" w:after="0"/>
              <w:jc w:val="center"/>
              <w:rPr/>
            </w:pPr>
            <w:r>
              <w:rPr>
                <w:rFonts w:cs="Times New Roman" w:ascii="Times New Roman" w:hAnsi="Times New Roman"/>
                <w:sz w:val="24"/>
                <w:szCs w:val="24"/>
              </w:rPr>
              <w:t>4.3</w:t>
            </w:r>
          </w:p>
        </w:tc>
        <w:tc>
          <w:tcPr>
            <w:tcW w:w="3858" w:type="dxa"/>
            <w:tcBorders/>
            <w:shd w:color="auto" w:fill="auto" w:val="clear"/>
          </w:tcPr>
          <w:p>
            <w:pPr>
              <w:pStyle w:val="Normal"/>
              <w:spacing w:lineRule="auto" w:line="240" w:before="0" w:after="0"/>
              <w:rPr/>
            </w:pPr>
            <w:r>
              <w:rPr>
                <w:rFonts w:cs="Times New Roman" w:ascii="Times New Roman" w:hAnsi="Times New Roman"/>
                <w:sz w:val="24"/>
                <w:szCs w:val="24"/>
              </w:rPr>
              <w:t>Величина повышения начальной цены продажи («шаг аукциона»)</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Фиксированная сумма.</w:t>
            </w:r>
          </w:p>
          <w:p>
            <w:pPr>
              <w:pStyle w:val="Normal"/>
              <w:spacing w:lineRule="auto" w:line="240" w:before="0" w:after="0"/>
              <w:ind w:firstLine="318"/>
              <w:jc w:val="both"/>
              <w:rPr/>
            </w:pPr>
            <w:r>
              <w:rPr>
                <w:rFonts w:eastAsia="Calibri" w:cs="Times New Roman" w:ascii="Times New Roman" w:hAnsi="Times New Roman" w:eastAsiaTheme="minorHAnsi"/>
                <w:b/>
                <w:color w:val="auto"/>
                <w:kern w:val="0"/>
                <w:sz w:val="24"/>
                <w:szCs w:val="24"/>
                <w:lang w:val="ru-RU" w:eastAsia="en-US" w:bidi="ar-SA"/>
              </w:rPr>
              <w:t>25</w:t>
            </w:r>
            <w:r>
              <w:rPr>
                <w:rFonts w:cs="Times New Roman" w:ascii="Times New Roman" w:hAnsi="Times New Roman"/>
                <w:b/>
                <w:sz w:val="24"/>
                <w:szCs w:val="24"/>
              </w:rPr>
              <w:t xml:space="preserve"> рубю 00 коп. </w:t>
            </w:r>
          </w:p>
        </w:tc>
      </w:tr>
      <w:tr>
        <w:trPr/>
        <w:tc>
          <w:tcPr>
            <w:tcW w:w="538" w:type="dxa"/>
            <w:tcBorders/>
            <w:shd w:color="auto" w:fill="auto" w:val="clear"/>
          </w:tcPr>
          <w:p>
            <w:pPr>
              <w:pStyle w:val="Normal"/>
              <w:spacing w:lineRule="auto" w:line="240" w:before="0" w:after="0"/>
              <w:jc w:val="center"/>
              <w:rPr/>
            </w:pPr>
            <w:r>
              <w:rPr>
                <w:rFonts w:cs="Times New Roman" w:ascii="Times New Roman" w:hAnsi="Times New Roman"/>
                <w:sz w:val="24"/>
                <w:szCs w:val="24"/>
              </w:rPr>
              <w:t>5</w:t>
            </w:r>
          </w:p>
        </w:tc>
        <w:tc>
          <w:tcPr>
            <w:tcW w:w="3858" w:type="dxa"/>
            <w:tcBorders/>
            <w:shd w:color="auto" w:fill="auto" w:val="clear"/>
          </w:tcPr>
          <w:p>
            <w:pPr>
              <w:pStyle w:val="Normal"/>
              <w:spacing w:lineRule="auto" w:line="240" w:before="0" w:after="0"/>
              <w:rPr/>
            </w:pPr>
            <w:r>
              <w:rPr>
                <w:rFonts w:cs="Times New Roman" w:ascii="Times New Roman" w:hAnsi="Times New Roman"/>
                <w:sz w:val="24"/>
                <w:szCs w:val="24"/>
              </w:rPr>
              <w:t>Условия и сроки платежа, необходимые реквизиты счетов</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Условия и сроки платежа, реквизиты для перечисления оплаты указаны в проекте договора купли-продажи (Приложение № 2).</w:t>
            </w:r>
          </w:p>
        </w:tc>
      </w:tr>
      <w:tr>
        <w:trPr/>
        <w:tc>
          <w:tcPr>
            <w:tcW w:w="538" w:type="dxa"/>
            <w:tcBorders/>
            <w:shd w:color="auto" w:fill="auto" w:val="clear"/>
          </w:tcPr>
          <w:p>
            <w:pPr>
              <w:pStyle w:val="Normal"/>
              <w:spacing w:lineRule="auto" w:line="240" w:before="0" w:after="0"/>
              <w:jc w:val="center"/>
              <w:rPr/>
            </w:pPr>
            <w:r>
              <w:rPr>
                <w:rFonts w:cs="Times New Roman" w:ascii="Times New Roman" w:hAnsi="Times New Roman"/>
                <w:sz w:val="24"/>
                <w:szCs w:val="24"/>
              </w:rPr>
              <w:t>6</w:t>
            </w:r>
          </w:p>
        </w:tc>
        <w:tc>
          <w:tcPr>
            <w:tcW w:w="3858" w:type="dxa"/>
            <w:tcBorders/>
            <w:shd w:color="auto" w:fill="auto" w:val="clear"/>
          </w:tcPr>
          <w:p>
            <w:pPr>
              <w:pStyle w:val="Normal"/>
              <w:spacing w:lineRule="auto" w:line="240" w:before="0" w:after="0"/>
              <w:rPr/>
            </w:pPr>
            <w:r>
              <w:rPr>
                <w:rFonts w:cs="Times New Roman" w:ascii="Times New Roman" w:hAnsi="Times New Roman"/>
                <w:sz w:val="24"/>
                <w:szCs w:val="24"/>
              </w:rPr>
              <w:t>Размер задатка, срок и порядок его внесения, необходимые реквизиты счетов</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 xml:space="preserve">Размер задатка 20% начальной цены продажи, </w:t>
            </w:r>
          </w:p>
          <w:p>
            <w:pPr>
              <w:pStyle w:val="Normal"/>
              <w:spacing w:lineRule="auto" w:line="240" w:before="0" w:after="0"/>
              <w:ind w:firstLine="318"/>
              <w:jc w:val="both"/>
              <w:rPr/>
            </w:pPr>
            <w:r>
              <w:rPr>
                <w:rFonts w:cs="Times New Roman" w:ascii="Times New Roman" w:hAnsi="Times New Roman"/>
                <w:sz w:val="24"/>
                <w:szCs w:val="24"/>
              </w:rPr>
              <w:t xml:space="preserve">составляет </w:t>
            </w:r>
            <w:r>
              <w:rPr>
                <w:rFonts w:cs="Times New Roman" w:ascii="Times New Roman" w:hAnsi="Times New Roman"/>
                <w:b/>
                <w:color w:val="000000"/>
                <w:sz w:val="24"/>
                <w:szCs w:val="24"/>
                <w:highlight w:val="white"/>
              </w:rPr>
              <w:t>109 руб. 33 коп</w:t>
            </w:r>
            <w:r>
              <w:rPr>
                <w:rFonts w:cs="Times New Roman" w:ascii="Times New Roman" w:hAnsi="Times New Roman"/>
                <w:b/>
                <w:color w:val="000000"/>
                <w:sz w:val="24"/>
                <w:szCs w:val="24"/>
              </w:rPr>
              <w:t>.</w:t>
            </w:r>
          </w:p>
          <w:p>
            <w:pPr>
              <w:pStyle w:val="Normal"/>
              <w:spacing w:lineRule="auto" w:line="240" w:before="0" w:after="0"/>
              <w:ind w:firstLine="318"/>
              <w:jc w:val="both"/>
              <w:rPr/>
            </w:pPr>
            <w:r>
              <w:rPr>
                <w:rFonts w:cs="Times New Roman" w:ascii="Times New Roman" w:hAnsi="Times New Roman"/>
                <w:sz w:val="24"/>
                <w:szCs w:val="24"/>
              </w:rPr>
              <w:t xml:space="preserve">Внесенный победителем продажи задаток засчитывается в счет оплаты приобретаемого имущества. </w:t>
            </w:r>
          </w:p>
          <w:p>
            <w:pPr>
              <w:pStyle w:val="Normal"/>
              <w:spacing w:lineRule="auto" w:line="240" w:before="0" w:after="0"/>
              <w:ind w:firstLine="318"/>
              <w:jc w:val="both"/>
              <w:rPr/>
            </w:pPr>
            <w:r>
              <w:rPr>
                <w:rFonts w:cs="Times New Roman" w:ascii="Times New Roman" w:hAnsi="Times New Roman"/>
                <w:sz w:val="24"/>
                <w:szCs w:val="24"/>
              </w:rPr>
              <w:t>Срок внесения задатка: не позднее дня окончания приема заявок на участие в продаже.</w:t>
            </w:r>
          </w:p>
          <w:p>
            <w:pPr>
              <w:pStyle w:val="Normal"/>
              <w:spacing w:lineRule="auto" w:line="240" w:before="0" w:after="0"/>
              <w:ind w:firstLine="318"/>
              <w:jc w:val="both"/>
              <w:rPr/>
            </w:pPr>
            <w:r>
              <w:rPr>
                <w:rFonts w:cs="Times New Roman" w:ascii="Times New Roman" w:hAnsi="Times New Roman"/>
                <w:sz w:val="24"/>
                <w:szCs w:val="24"/>
              </w:rPr>
              <w:t>Реквизиты для перечисления задатка:</w:t>
            </w:r>
          </w:p>
          <w:p>
            <w:pPr>
              <w:pStyle w:val="Normal"/>
              <w:spacing w:lineRule="auto" w:line="240" w:before="0" w:after="0"/>
              <w:ind w:firstLine="318"/>
              <w:jc w:val="both"/>
              <w:rPr/>
            </w:pPr>
            <w:r>
              <w:rPr>
                <w:rStyle w:val="FontStyle13"/>
                <w:b w:val="false"/>
                <w:i/>
                <w:sz w:val="24"/>
                <w:szCs w:val="24"/>
              </w:rPr>
              <w:t>ИНН 5262347425, КПП 526201001, УФК по Нижегородской области (ФКУ «ПривЦМТО Росгвардии», лицевой счет 05321</w:t>
            </w:r>
            <w:r>
              <w:rPr>
                <w:rStyle w:val="FontStyle13"/>
                <w:b w:val="false"/>
                <w:i/>
                <w:sz w:val="24"/>
                <w:szCs w:val="24"/>
                <w:lang w:val="en-US"/>
              </w:rPr>
              <w:t>F</w:t>
            </w:r>
            <w:r>
              <w:rPr>
                <w:rStyle w:val="FontStyle13"/>
                <w:b w:val="false"/>
                <w:i/>
                <w:sz w:val="24"/>
                <w:szCs w:val="24"/>
              </w:rPr>
              <w:t xml:space="preserve">91110), </w:t>
            </w:r>
            <w:r>
              <w:rPr>
                <w:rStyle w:val="FontStyle13"/>
                <w:b w:val="false"/>
                <w:i/>
                <w:color w:val="000000" w:themeColor="text1"/>
                <w:sz w:val="24"/>
                <w:szCs w:val="24"/>
              </w:rPr>
              <w:t>Казначейский счет (счет плательщика)  № 03212643000000013200 ВОЛГО-ВЯТСКО</w:t>
            </w:r>
            <w:r>
              <w:rPr>
                <w:rStyle w:val="FontStyle13"/>
                <w:rFonts w:eastAsia="Times New Roman"/>
                <w:b w:val="false"/>
                <w:i/>
                <w:color w:val="000000" w:themeColor="text1"/>
                <w:sz w:val="24"/>
                <w:szCs w:val="24"/>
                <w:lang w:eastAsia="ru-RU"/>
              </w:rPr>
              <w:t>Е</w:t>
            </w:r>
            <w:r>
              <w:rPr>
                <w:rStyle w:val="FontStyle13"/>
                <w:b w:val="false"/>
                <w:i/>
                <w:color w:val="000000" w:themeColor="text1"/>
                <w:sz w:val="24"/>
                <w:szCs w:val="24"/>
              </w:rPr>
              <w:t xml:space="preserve"> ГУ БАНКА РОССИИ//УФК по Нижегородской области г. Нижний Новгород,</w:t>
            </w:r>
            <w:r>
              <w:rPr>
                <w:rStyle w:val="FontStyle13"/>
                <w:b w:val="false"/>
                <w:i/>
                <w:sz w:val="24"/>
                <w:szCs w:val="24"/>
              </w:rPr>
              <w:t xml:space="preserve"> </w:t>
            </w:r>
            <w:r>
              <w:rPr>
                <w:rStyle w:val="FontStyle13"/>
                <w:b w:val="false"/>
                <w:i/>
                <w:color w:val="000000" w:themeColor="text1"/>
                <w:sz w:val="24"/>
                <w:szCs w:val="24"/>
              </w:rPr>
              <w:t>Единый казначейский счет (корреспондентский счет) № 40102810745370000024,</w:t>
            </w:r>
            <w:r>
              <w:rPr>
                <w:rStyle w:val="FontStyle13"/>
                <w:b w:val="false"/>
                <w:i/>
                <w:sz w:val="24"/>
                <w:szCs w:val="24"/>
              </w:rPr>
              <w:t xml:space="preserve">  БИК 012202102</w:t>
            </w:r>
            <w:r>
              <w:rPr>
                <w:rFonts w:cs="Times New Roman" w:ascii="Times New Roman" w:hAnsi="Times New Roman"/>
                <w:i/>
                <w:sz w:val="24"/>
                <w:szCs w:val="24"/>
              </w:rPr>
              <w:t xml:space="preserve"> Назначение платежа: Задаток для участия в торгах. Извещение №__________ (лот №__________)</w:t>
            </w:r>
          </w:p>
        </w:tc>
      </w:tr>
      <w:tr>
        <w:trPr>
          <w:trHeight w:val="3280" w:hRule="atLeast"/>
        </w:trPr>
        <w:tc>
          <w:tcPr>
            <w:tcW w:w="538" w:type="dxa"/>
            <w:tcBorders/>
            <w:shd w:color="auto" w:fill="auto" w:val="clear"/>
          </w:tcPr>
          <w:p>
            <w:pPr>
              <w:pStyle w:val="Normal"/>
              <w:spacing w:lineRule="auto" w:line="240" w:before="0" w:after="0"/>
              <w:jc w:val="center"/>
              <w:rPr/>
            </w:pPr>
            <w:r>
              <w:rPr>
                <w:rFonts w:cs="Times New Roman" w:ascii="Times New Roman" w:hAnsi="Times New Roman"/>
                <w:color w:val="000000" w:themeColor="text1"/>
                <w:sz w:val="24"/>
                <w:szCs w:val="24"/>
              </w:rPr>
              <w:t>7</w:t>
            </w:r>
          </w:p>
        </w:tc>
        <w:tc>
          <w:tcPr>
            <w:tcW w:w="3858" w:type="dxa"/>
            <w:tcBorders/>
            <w:shd w:color="auto" w:fill="auto" w:val="clear"/>
          </w:tcPr>
          <w:p>
            <w:pPr>
              <w:pStyle w:val="Normal"/>
              <w:spacing w:lineRule="auto" w:line="240" w:before="0" w:after="0"/>
              <w:rPr/>
            </w:pPr>
            <w:r>
              <w:rPr>
                <w:rFonts w:cs="Times New Roman" w:ascii="Times New Roman" w:hAnsi="Times New Roman"/>
                <w:sz w:val="24"/>
                <w:szCs w:val="24"/>
              </w:rPr>
              <w:t>Порядок, место, даты начала и окончания подачи заявок на участие в продаже, дата определения участников продажи</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 xml:space="preserve">Дата начала подачи заявок: </w:t>
            </w:r>
            <w:r>
              <w:rPr>
                <w:rFonts w:cs="Times New Roman" w:ascii="Times New Roman" w:hAnsi="Times New Roman"/>
                <w:b/>
                <w:sz w:val="24"/>
                <w:szCs w:val="24"/>
              </w:rPr>
              <w:t>10 ч 00 мин 20.08.2021 г. (время московское).</w:t>
            </w:r>
          </w:p>
          <w:p>
            <w:pPr>
              <w:pStyle w:val="Normal"/>
              <w:spacing w:lineRule="auto" w:line="240" w:before="0" w:after="0"/>
              <w:ind w:firstLine="318"/>
              <w:jc w:val="both"/>
              <w:rPr/>
            </w:pPr>
            <w:r>
              <w:rPr>
                <w:rFonts w:cs="Times New Roman" w:ascii="Times New Roman" w:hAnsi="Times New Roman"/>
                <w:sz w:val="24"/>
                <w:szCs w:val="24"/>
              </w:rPr>
              <w:t xml:space="preserve">Дата окончания подачи заявок: </w:t>
            </w:r>
            <w:r>
              <w:rPr>
                <w:rFonts w:cs="Times New Roman" w:ascii="Times New Roman" w:hAnsi="Times New Roman"/>
                <w:b/>
                <w:sz w:val="24"/>
                <w:szCs w:val="24"/>
              </w:rPr>
              <w:t>10 ч 00 мин 15.09.2021 г. (время московское).</w:t>
            </w:r>
          </w:p>
          <w:p>
            <w:pPr>
              <w:pStyle w:val="Normal"/>
              <w:spacing w:lineRule="auto" w:line="240" w:before="0" w:after="0"/>
              <w:ind w:firstLine="318"/>
              <w:jc w:val="both"/>
              <w:rPr/>
            </w:pPr>
            <w:r>
              <w:rPr>
                <w:rFonts w:cs="Times New Roman" w:ascii="Times New Roman" w:hAnsi="Times New Roman"/>
                <w:b/>
                <w:sz w:val="24"/>
                <w:szCs w:val="24"/>
              </w:rPr>
              <w:t xml:space="preserve">Место подачи заявок и предложений: </w:t>
            </w:r>
            <w:r>
              <w:rPr>
                <w:rFonts w:cs="Times New Roman" w:ascii="Times New Roman" w:hAnsi="Times New Roman"/>
                <w:sz w:val="24"/>
                <w:szCs w:val="24"/>
              </w:rPr>
              <w:t>Электронная Торговая Площадка Группы Газпромбанка.</w:t>
            </w:r>
          </w:p>
          <w:p>
            <w:pPr>
              <w:pStyle w:val="Normal"/>
              <w:spacing w:lineRule="auto" w:line="240" w:before="0" w:after="0"/>
              <w:ind w:firstLine="318"/>
              <w:jc w:val="both"/>
              <w:rPr/>
            </w:pPr>
            <w:r>
              <w:rPr>
                <w:rFonts w:cs="Times New Roman" w:ascii="Times New Roman" w:hAnsi="Times New Roman"/>
                <w:sz w:val="24"/>
                <w:szCs w:val="24"/>
                <w:shd w:fill="auto" w:val="clear"/>
              </w:rPr>
              <w:t>Для участия в продаже имущества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w:t>
            </w:r>
            <w:r>
              <w:rPr>
                <w:rStyle w:val="Appleconvertedspace"/>
                <w:rFonts w:cs="Times New Roman" w:ascii="Times New Roman" w:hAnsi="Times New Roman"/>
                <w:sz w:val="24"/>
                <w:szCs w:val="24"/>
                <w:shd w:fill="auto" w:val="clear"/>
              </w:rPr>
              <w:t> </w:t>
            </w:r>
            <w:r>
              <w:rPr>
                <w:rFonts w:cs="Times New Roman" w:ascii="Times New Roman" w:hAnsi="Times New Roman"/>
                <w:sz w:val="24"/>
                <w:szCs w:val="24"/>
                <w:shd w:fill="auto" w:val="clear"/>
              </w:rPr>
              <w:t>заявки</w:t>
            </w:r>
            <w:r>
              <w:rPr>
                <w:rStyle w:val="Appleconvertedspace"/>
                <w:rFonts w:cs="Times New Roman" w:ascii="Times New Roman" w:hAnsi="Times New Roman"/>
                <w:sz w:val="24"/>
                <w:szCs w:val="24"/>
                <w:shd w:fill="auto" w:val="clear"/>
              </w:rPr>
              <w:t> </w:t>
            </w:r>
            <w:r>
              <w:rPr>
                <w:rFonts w:cs="Times New Roman" w:ascii="Times New Roman" w:hAnsi="Times New Roman"/>
                <w:sz w:val="24"/>
                <w:szCs w:val="24"/>
                <w:shd w:fill="auto" w:val="clear"/>
              </w:rPr>
              <w:t>с приложением электронных документов в соответствии с перечнем, приведенным в информационном сообщении о проведении продажи</w:t>
            </w:r>
            <w:r>
              <w:rPr/>
              <w:t xml:space="preserve"> </w:t>
            </w:r>
            <w:r>
              <w:rPr>
                <w:rFonts w:cs="Times New Roman" w:ascii="Times New Roman" w:hAnsi="Times New Roman"/>
                <w:sz w:val="24"/>
                <w:szCs w:val="24"/>
                <w:shd w:fill="auto" w:val="clear"/>
              </w:rPr>
              <w:t>имущества посредством публичного предложения.</w:t>
            </w:r>
            <w:r>
              <w:rPr>
                <w:rFonts w:cs="Times New Roman" w:ascii="Times New Roman" w:hAnsi="Times New Roman"/>
                <w:sz w:val="24"/>
                <w:szCs w:val="24"/>
              </w:rPr>
              <w:t xml:space="preserve"> Претендент вправе подать только одну заявку.</w:t>
            </w:r>
          </w:p>
          <w:p>
            <w:pPr>
              <w:pStyle w:val="Normal"/>
              <w:spacing w:lineRule="auto" w:line="240" w:before="0" w:after="0"/>
              <w:ind w:firstLine="318"/>
              <w:jc w:val="both"/>
              <w:rPr/>
            </w:pPr>
            <w:r>
              <w:rPr>
                <w:rFonts w:cs="Times New Roman" w:ascii="Times New Roman" w:hAnsi="Times New Roman"/>
                <w:sz w:val="24"/>
                <w:szCs w:val="24"/>
              </w:rPr>
              <w:t>Порядок регистрации на ЭТП и правила проведения продажи – в соответствии с порядком установленным постановлением Правительства РФ от 27 августа 2012 г. № 860.</w:t>
            </w:r>
          </w:p>
          <w:p>
            <w:pPr>
              <w:pStyle w:val="Normal"/>
              <w:spacing w:lineRule="auto" w:line="240" w:before="0" w:after="0"/>
              <w:ind w:firstLine="318"/>
              <w:jc w:val="both"/>
              <w:rPr/>
            </w:pPr>
            <w:r>
              <w:rPr>
                <w:rFonts w:cs="Times New Roman" w:ascii="Times New Roman" w:hAnsi="Times New Roman"/>
                <w:b/>
                <w:sz w:val="24"/>
                <w:szCs w:val="24"/>
              </w:rPr>
              <w:t>Дата определения участников продажи: 20.09.2021 г.</w:t>
            </w:r>
          </w:p>
        </w:tc>
      </w:tr>
      <w:tr>
        <w:trPr/>
        <w:tc>
          <w:tcPr>
            <w:tcW w:w="538" w:type="dxa"/>
            <w:tcBorders/>
            <w:shd w:color="auto" w:fill="auto" w:val="clear"/>
          </w:tcPr>
          <w:p>
            <w:pPr>
              <w:pStyle w:val="Normal"/>
              <w:spacing w:lineRule="auto" w:line="240" w:before="0" w:after="0"/>
              <w:jc w:val="center"/>
              <w:rPr/>
            </w:pPr>
            <w:r>
              <w:rPr>
                <w:rFonts w:cs="Times New Roman" w:ascii="Times New Roman" w:hAnsi="Times New Roman"/>
                <w:sz w:val="24"/>
                <w:szCs w:val="24"/>
              </w:rPr>
              <w:t>8</w:t>
            </w:r>
          </w:p>
        </w:tc>
        <w:tc>
          <w:tcPr>
            <w:tcW w:w="3858" w:type="dxa"/>
            <w:tcBorders/>
            <w:shd w:color="auto" w:fill="auto" w:val="clear"/>
          </w:tcPr>
          <w:p>
            <w:pPr>
              <w:pStyle w:val="Normal"/>
              <w:spacing w:lineRule="auto" w:line="240" w:before="0" w:after="0"/>
              <w:rPr/>
            </w:pPr>
            <w:r>
              <w:rPr>
                <w:rFonts w:cs="Times New Roman" w:ascii="Times New Roman" w:hAnsi="Times New Roman"/>
                <w:sz w:val="24"/>
                <w:szCs w:val="24"/>
              </w:rPr>
              <w:t>Исчерпывающий перечень представляемых участниками торгов документов и требования к их оформлению</w:t>
            </w:r>
          </w:p>
        </w:tc>
        <w:tc>
          <w:tcPr>
            <w:tcW w:w="5386" w:type="dxa"/>
            <w:tcBorders/>
            <w:shd w:color="auto" w:fill="auto" w:val="clear"/>
          </w:tcPr>
          <w:p>
            <w:pPr>
              <w:pStyle w:val="Normal"/>
              <w:spacing w:lineRule="auto" w:line="240" w:before="0" w:after="0"/>
              <w:ind w:firstLine="318"/>
              <w:jc w:val="both"/>
              <w:rPr/>
            </w:pPr>
            <w:r>
              <w:rPr>
                <w:rFonts w:eastAsia="Times New Roman" w:cs="Times New Roman" w:ascii="Times New Roman" w:hAnsi="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pPr>
              <w:pStyle w:val="Normal"/>
              <w:spacing w:lineRule="auto" w:line="240" w:before="0" w:after="0"/>
              <w:ind w:firstLine="318"/>
              <w:jc w:val="both"/>
              <w:rPr/>
            </w:pPr>
            <w:r>
              <w:rPr>
                <w:rFonts w:eastAsia="Times New Roman" w:cs="Times New Roman" w:ascii="Times New Roman" w:hAnsi="Times New Roman"/>
                <w:sz w:val="24"/>
                <w:szCs w:val="24"/>
                <w:lang w:eastAsia="ru-RU"/>
              </w:rPr>
              <w:t>1. Юридические лица:</w:t>
            </w:r>
          </w:p>
          <w:p>
            <w:pPr>
              <w:pStyle w:val="Normal"/>
              <w:widowControl/>
              <w:tabs>
                <w:tab w:val="clear" w:pos="708"/>
                <w:tab w:val="left" w:pos="395" w:leader="none"/>
              </w:tabs>
              <w:suppressAutoHyphens w:val="true"/>
              <w:bidi w:val="0"/>
              <w:spacing w:lineRule="auto" w:line="240" w:before="0" w:after="0"/>
              <w:ind w:left="0" w:right="0" w:firstLine="397"/>
              <w:jc w:val="both"/>
              <w:rPr/>
            </w:pPr>
            <w:r>
              <w:rPr>
                <w:rFonts w:eastAsia="Times New Roman" w:cs="Times New Roman" w:ascii="Times New Roman" w:hAnsi="Times New Roman"/>
                <w:sz w:val="24"/>
                <w:szCs w:val="24"/>
                <w:lang w:eastAsia="ru-RU"/>
              </w:rPr>
              <w:t>- заверенные копии учредительных документов;</w:t>
            </w:r>
          </w:p>
          <w:p>
            <w:pPr>
              <w:pStyle w:val="Normal"/>
              <w:widowControl/>
              <w:tabs>
                <w:tab w:val="clear" w:pos="708"/>
                <w:tab w:val="left" w:pos="395" w:leader="none"/>
              </w:tabs>
              <w:suppressAutoHyphens w:val="true"/>
              <w:bidi w:val="0"/>
              <w:spacing w:lineRule="auto" w:line="240" w:before="0" w:after="0"/>
              <w:ind w:left="0" w:right="0" w:firstLine="397"/>
              <w:jc w:val="both"/>
              <w:rPr/>
            </w:pPr>
            <w:r>
              <w:rPr>
                <w:rFonts w:eastAsia="Times New Roman" w:cs="Times New Roman" w:ascii="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pPr>
              <w:pStyle w:val="Normal"/>
              <w:spacing w:lineRule="auto" w:line="240" w:before="0" w:after="0"/>
              <w:ind w:firstLine="318"/>
              <w:jc w:val="both"/>
              <w:rPr/>
            </w:pPr>
            <w:r>
              <w:rPr>
                <w:rFonts w:eastAsia="Times New Roman" w:cs="Times New Roman" w:ascii="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pPr>
              <w:pStyle w:val="Normal"/>
              <w:spacing w:lineRule="auto" w:line="240" w:before="0" w:after="0"/>
              <w:ind w:firstLine="318"/>
              <w:jc w:val="both"/>
              <w:rPr/>
            </w:pPr>
            <w:r>
              <w:rPr>
                <w:rFonts w:eastAsia="Times New Roman" w:cs="Times New Roman" w:ascii="Times New Roman" w:hAnsi="Times New Roman"/>
                <w:sz w:val="24"/>
                <w:szCs w:val="24"/>
                <w:lang w:eastAsia="ru-RU"/>
              </w:rPr>
              <w:t>2. Физические лица представляют копии всех листов документа, удостоверяющий личность.</w:t>
            </w:r>
          </w:p>
          <w:p>
            <w:pPr>
              <w:pStyle w:val="Normal"/>
              <w:spacing w:lineRule="auto" w:line="240" w:before="0" w:after="0"/>
              <w:ind w:firstLine="318"/>
              <w:jc w:val="both"/>
              <w:rPr/>
            </w:pPr>
            <w:r>
              <w:rPr>
                <w:rFonts w:eastAsia="Times New Roman" w:cs="Times New Roman" w:ascii="Times New Roman" w:hAnsi="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удостоверяющий личность доверенного лица. </w:t>
            </w:r>
          </w:p>
          <w:p>
            <w:pPr>
              <w:pStyle w:val="Normal"/>
              <w:spacing w:lineRule="auto" w:line="240" w:before="0" w:after="0"/>
              <w:ind w:firstLine="318"/>
              <w:jc w:val="both"/>
              <w:rPr/>
            </w:pPr>
            <w:r>
              <w:rPr>
                <w:rFonts w:eastAsia="Times New Roman" w:cs="Times New Roman" w:ascii="Times New Roman" w:hAnsi="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p>
            <w:pPr>
              <w:pStyle w:val="Normal"/>
              <w:spacing w:lineRule="auto" w:line="240" w:before="0" w:after="0"/>
              <w:ind w:firstLine="318"/>
              <w:jc w:val="both"/>
              <w:rPr/>
            </w:pPr>
            <w:r>
              <w:rPr>
                <w:rFonts w:eastAsia="Times New Roman" w:cs="Times New Roman" w:ascii="Times New Roman" w:hAnsi="Times New Roman"/>
                <w:sz w:val="24"/>
                <w:szCs w:val="24"/>
                <w:lang w:eastAsia="ru-RU"/>
              </w:rPr>
              <w:t>Для юридических и физических лиц – платёжный документ с отметкой банка о перечислении задатка продавцу для обеспечения  участия в продаже.</w:t>
            </w:r>
          </w:p>
        </w:tc>
      </w:tr>
      <w:tr>
        <w:trPr/>
        <w:tc>
          <w:tcPr>
            <w:tcW w:w="538" w:type="dxa"/>
            <w:tcBorders/>
            <w:shd w:color="auto" w:fill="auto" w:val="clear"/>
          </w:tcPr>
          <w:p>
            <w:pPr>
              <w:pStyle w:val="Normal"/>
              <w:spacing w:lineRule="auto" w:line="240" w:before="0" w:after="0"/>
              <w:jc w:val="center"/>
              <w:rPr/>
            </w:pPr>
            <w:r>
              <w:rPr>
                <w:rFonts w:cs="Times New Roman" w:ascii="Times New Roman" w:hAnsi="Times New Roman"/>
                <w:sz w:val="24"/>
                <w:szCs w:val="24"/>
              </w:rPr>
              <w:t>9</w:t>
            </w:r>
          </w:p>
        </w:tc>
        <w:tc>
          <w:tcPr>
            <w:tcW w:w="3858" w:type="dxa"/>
            <w:tcBorders/>
            <w:shd w:color="auto" w:fill="auto" w:val="clear"/>
          </w:tcPr>
          <w:p>
            <w:pPr>
              <w:pStyle w:val="Normal"/>
              <w:spacing w:lineRule="auto" w:line="240" w:before="0" w:after="0"/>
              <w:rPr/>
            </w:pPr>
            <w:r>
              <w:rPr>
                <w:rFonts w:cs="Times New Roman" w:ascii="Times New Roman" w:hAnsi="Times New Roman"/>
                <w:sz w:val="24"/>
                <w:szCs w:val="24"/>
              </w:rPr>
              <w:t xml:space="preserve">Основания для отказа претенденту участвовать </w:t>
            </w:r>
          </w:p>
        </w:tc>
        <w:tc>
          <w:tcPr>
            <w:tcW w:w="5386" w:type="dxa"/>
            <w:tcBorders/>
            <w:shd w:color="auto" w:fill="auto" w:val="clear"/>
          </w:tcPr>
          <w:p>
            <w:pPr>
              <w:pStyle w:val="ListParagraph"/>
              <w:spacing w:lineRule="auto" w:line="240" w:before="0" w:after="0"/>
              <w:ind w:left="34" w:firstLine="318"/>
              <w:contextualSpacing/>
              <w:jc w:val="both"/>
              <w:rPr/>
            </w:pPr>
            <w:r>
              <w:rPr>
                <w:rFonts w:cs="Times New Roman" w:ascii="Times New Roman" w:hAnsi="Times New Roman"/>
                <w:sz w:val="24"/>
                <w:szCs w:val="24"/>
              </w:rPr>
              <w:t>В соответствии с п.8 ст.18 Федерального закона от 21.12.2001г. № 178-ФЗ «О приватизации государственного и муниципального имущества».</w:t>
            </w:r>
          </w:p>
        </w:tc>
      </w:tr>
      <w:tr>
        <w:trPr/>
        <w:tc>
          <w:tcPr>
            <w:tcW w:w="538" w:type="dxa"/>
            <w:tcBorders/>
            <w:shd w:color="auto" w:fill="auto" w:val="clear"/>
          </w:tcPr>
          <w:p>
            <w:pPr>
              <w:pStyle w:val="Normal"/>
              <w:spacing w:lineRule="auto" w:line="240" w:before="0" w:after="0"/>
              <w:jc w:val="center"/>
              <w:rPr/>
            </w:pPr>
            <w:r>
              <w:rPr>
                <w:rFonts w:cs="Times New Roman" w:ascii="Times New Roman" w:hAnsi="Times New Roman"/>
                <w:sz w:val="24"/>
                <w:szCs w:val="24"/>
              </w:rPr>
              <w:t>10</w:t>
            </w:r>
          </w:p>
        </w:tc>
        <w:tc>
          <w:tcPr>
            <w:tcW w:w="3858" w:type="dxa"/>
            <w:tcBorders/>
            <w:shd w:color="auto" w:fill="auto" w:val="clear"/>
          </w:tcPr>
          <w:p>
            <w:pPr>
              <w:pStyle w:val="Normal"/>
              <w:spacing w:lineRule="auto" w:line="240" w:before="0" w:after="0"/>
              <w:rPr/>
            </w:pPr>
            <w:r>
              <w:rPr>
                <w:rFonts w:cs="Times New Roman" w:ascii="Times New Roman" w:hAnsi="Times New Roman"/>
                <w:sz w:val="24"/>
                <w:szCs w:val="24"/>
              </w:rPr>
              <w:t>Срок заключения договора купли-продажи имущества</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В течении 5 рабочих дней с даты подведения итогов продажи.</w:t>
            </w:r>
          </w:p>
        </w:tc>
      </w:tr>
      <w:tr>
        <w:trPr/>
        <w:tc>
          <w:tcPr>
            <w:tcW w:w="538" w:type="dxa"/>
            <w:tcBorders/>
            <w:shd w:color="auto" w:fill="auto" w:val="clear"/>
          </w:tcPr>
          <w:p>
            <w:pPr>
              <w:pStyle w:val="Normal"/>
              <w:spacing w:lineRule="auto" w:line="240" w:before="0" w:after="0"/>
              <w:jc w:val="center"/>
              <w:rPr/>
            </w:pPr>
            <w:r>
              <w:rPr>
                <w:rFonts w:cs="Times New Roman" w:ascii="Times New Roman" w:hAnsi="Times New Roman"/>
                <w:sz w:val="24"/>
                <w:szCs w:val="24"/>
              </w:rPr>
              <w:t>11</w:t>
            </w:r>
          </w:p>
        </w:tc>
        <w:tc>
          <w:tcPr>
            <w:tcW w:w="3858" w:type="dxa"/>
            <w:tcBorders/>
            <w:shd w:color="auto" w:fill="auto" w:val="clear"/>
          </w:tcPr>
          <w:p>
            <w:pPr>
              <w:pStyle w:val="Normal"/>
              <w:spacing w:lineRule="auto" w:line="240" w:before="0" w:after="0"/>
              <w:rPr/>
            </w:pPr>
            <w:r>
              <w:rPr>
                <w:rFonts w:cs="Times New Roman" w:ascii="Times New Roman" w:hAnsi="Times New Roman"/>
                <w:sz w:val="24"/>
                <w:szCs w:val="24"/>
              </w:rPr>
              <w:t>Порядок ознакомления покупателей с иной информацией, условиями договора купли-продажи имущества</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Участники закупки вправе направить запрос по интересующей дополнительной информации через электронную площадку.</w:t>
            </w:r>
          </w:p>
        </w:tc>
      </w:tr>
      <w:tr>
        <w:trPr/>
        <w:tc>
          <w:tcPr>
            <w:tcW w:w="538" w:type="dxa"/>
            <w:tcBorders/>
            <w:shd w:color="auto" w:fill="auto" w:val="clear"/>
          </w:tcPr>
          <w:p>
            <w:pPr>
              <w:pStyle w:val="Normal"/>
              <w:spacing w:lineRule="auto" w:line="240" w:before="0" w:after="0"/>
              <w:jc w:val="center"/>
              <w:rPr/>
            </w:pPr>
            <w:r>
              <w:rPr>
                <w:rFonts w:cs="Times New Roman" w:ascii="Times New Roman" w:hAnsi="Times New Roman"/>
                <w:sz w:val="24"/>
                <w:szCs w:val="24"/>
              </w:rPr>
              <w:t>12</w:t>
            </w:r>
          </w:p>
        </w:tc>
        <w:tc>
          <w:tcPr>
            <w:tcW w:w="3858" w:type="dxa"/>
            <w:tcBorders/>
            <w:shd w:color="auto" w:fill="auto" w:val="clear"/>
          </w:tcPr>
          <w:p>
            <w:pPr>
              <w:pStyle w:val="Normal"/>
              <w:spacing w:lineRule="auto" w:line="240" w:before="0" w:after="0"/>
              <w:rPr/>
            </w:pPr>
            <w:r>
              <w:rPr>
                <w:rFonts w:cs="Times New Roman" w:ascii="Times New Roman" w:hAnsi="Times New Roman"/>
                <w:sz w:val="24"/>
                <w:szCs w:val="24"/>
              </w:rPr>
              <w:t>Ограничения участия отдельных категорий физических лиц и юридических лиц в приватизации имущества</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trPr/>
        <w:tc>
          <w:tcPr>
            <w:tcW w:w="538" w:type="dxa"/>
            <w:tcBorders/>
            <w:shd w:color="auto" w:fill="auto" w:val="clear"/>
          </w:tcPr>
          <w:p>
            <w:pPr>
              <w:pStyle w:val="Normal"/>
              <w:spacing w:lineRule="auto" w:line="240" w:before="0" w:after="0"/>
              <w:jc w:val="center"/>
              <w:rPr/>
            </w:pPr>
            <w:r>
              <w:rPr>
                <w:rFonts w:cs="Times New Roman" w:ascii="Times New Roman" w:hAnsi="Times New Roman"/>
                <w:sz w:val="24"/>
                <w:szCs w:val="24"/>
              </w:rPr>
              <w:t>13</w:t>
            </w:r>
          </w:p>
        </w:tc>
        <w:tc>
          <w:tcPr>
            <w:tcW w:w="3858" w:type="dxa"/>
            <w:tcBorders/>
            <w:shd w:color="auto" w:fill="auto" w:val="clear"/>
          </w:tcPr>
          <w:p>
            <w:pPr>
              <w:pStyle w:val="Normal"/>
              <w:spacing w:lineRule="auto" w:line="240" w:before="0" w:after="0"/>
              <w:rPr/>
            </w:pPr>
            <w:r>
              <w:rPr>
                <w:rFonts w:cs="Times New Roman" w:ascii="Times New Roman" w:hAnsi="Times New Roman"/>
                <w:sz w:val="24"/>
                <w:szCs w:val="24"/>
              </w:rPr>
              <w:t>Порядок определения победителей при проведении продажи</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Победитель продажи определяется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shd w:color="auto" w:fill="auto" w:val="clear"/>
          </w:tcPr>
          <w:p>
            <w:pPr>
              <w:pStyle w:val="Normal"/>
              <w:spacing w:lineRule="auto" w:line="240" w:before="0" w:after="0"/>
              <w:jc w:val="center"/>
              <w:rPr/>
            </w:pPr>
            <w:r>
              <w:rPr>
                <w:rFonts w:cs="Times New Roman" w:ascii="Times New Roman" w:hAnsi="Times New Roman"/>
                <w:sz w:val="24"/>
                <w:szCs w:val="24"/>
              </w:rPr>
              <w:t>14</w:t>
            </w:r>
          </w:p>
        </w:tc>
        <w:tc>
          <w:tcPr>
            <w:tcW w:w="3858" w:type="dxa"/>
            <w:tcBorders/>
            <w:shd w:color="auto" w:fill="auto" w:val="clear"/>
          </w:tcPr>
          <w:p>
            <w:pPr>
              <w:pStyle w:val="Normal"/>
              <w:spacing w:lineRule="auto" w:line="240" w:before="0" w:after="0"/>
              <w:rPr/>
            </w:pPr>
            <w:r>
              <w:rPr>
                <w:rFonts w:cs="Times New Roman" w:ascii="Times New Roman" w:hAnsi="Times New Roman"/>
                <w:sz w:val="24"/>
                <w:szCs w:val="24"/>
              </w:rPr>
              <w:t>Место и срок проведения продажи государственного имущества. Подведение итогов продажи.</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Место проведения продажи: электронная площадка Электронная Торговая Площадка Группы Газпромбанка.</w:t>
            </w:r>
          </w:p>
          <w:p>
            <w:pPr>
              <w:pStyle w:val="Normal"/>
              <w:spacing w:lineRule="auto" w:line="240" w:before="0" w:after="0"/>
              <w:ind w:firstLine="318"/>
              <w:jc w:val="both"/>
              <w:rPr/>
            </w:pPr>
            <w:r>
              <w:rPr>
                <w:rFonts w:cs="Times New Roman" w:ascii="Times New Roman" w:hAnsi="Times New Roman"/>
                <w:b/>
                <w:sz w:val="24"/>
                <w:szCs w:val="24"/>
              </w:rPr>
              <w:t>Время и дата проведения продажи:</w:t>
            </w:r>
          </w:p>
          <w:p>
            <w:pPr>
              <w:pStyle w:val="Normal"/>
              <w:spacing w:lineRule="auto" w:line="240" w:before="0" w:after="0"/>
              <w:ind w:firstLine="318"/>
              <w:jc w:val="both"/>
              <w:rPr/>
            </w:pPr>
            <w:r>
              <w:rPr>
                <w:rFonts w:cs="Times New Roman" w:ascii="Times New Roman" w:hAnsi="Times New Roman"/>
                <w:b/>
                <w:sz w:val="24"/>
                <w:szCs w:val="24"/>
              </w:rPr>
              <w:t>10 ч 00 мин 23.09.2021г.</w:t>
            </w:r>
            <w:r>
              <w:rPr>
                <w:b/>
              </w:rPr>
              <w:t xml:space="preserve"> </w:t>
            </w:r>
            <w:r>
              <w:rPr>
                <w:rFonts w:cs="Times New Roman" w:ascii="Times New Roman" w:hAnsi="Times New Roman"/>
                <w:b/>
                <w:sz w:val="24"/>
                <w:szCs w:val="24"/>
              </w:rPr>
              <w:t>(время московское).</w:t>
            </w:r>
          </w:p>
          <w:p>
            <w:pPr>
              <w:pStyle w:val="Normal"/>
              <w:spacing w:lineRule="auto" w:line="240" w:before="0" w:after="0"/>
              <w:ind w:firstLine="318"/>
              <w:jc w:val="both"/>
              <w:rPr/>
            </w:pPr>
            <w:r>
              <w:rPr>
                <w:rFonts w:cs="Times New Roman" w:ascii="Times New Roman" w:hAnsi="Times New Roman"/>
                <w:b/>
                <w:sz w:val="24"/>
                <w:szCs w:val="24"/>
              </w:rPr>
              <w:t>Подведение итогов продажи</w:t>
            </w:r>
          </w:p>
          <w:p>
            <w:pPr>
              <w:pStyle w:val="Normal"/>
              <w:spacing w:lineRule="auto" w:line="240" w:before="0" w:after="0"/>
              <w:ind w:firstLine="318"/>
              <w:jc w:val="both"/>
              <w:rPr/>
            </w:pPr>
            <w:r>
              <w:rPr>
                <w:rFonts w:cs="Times New Roman" w:ascii="Times New Roman" w:hAnsi="Times New Roman"/>
                <w:b/>
                <w:sz w:val="24"/>
                <w:szCs w:val="24"/>
              </w:rPr>
              <w:t>23.09.2021 г.</w:t>
            </w:r>
          </w:p>
        </w:tc>
      </w:tr>
      <w:tr>
        <w:trPr/>
        <w:tc>
          <w:tcPr>
            <w:tcW w:w="538" w:type="dxa"/>
            <w:tcBorders/>
            <w:shd w:color="auto" w:fill="auto" w:val="clear"/>
          </w:tcPr>
          <w:p>
            <w:pPr>
              <w:pStyle w:val="Normal"/>
              <w:spacing w:lineRule="auto" w:line="240" w:before="0" w:after="0"/>
              <w:jc w:val="center"/>
              <w:rPr/>
            </w:pPr>
            <w:r>
              <w:rPr>
                <w:rFonts w:cs="Times New Roman" w:ascii="Times New Roman" w:hAnsi="Times New Roman"/>
                <w:sz w:val="24"/>
                <w:szCs w:val="24"/>
              </w:rPr>
              <w:t>15</w:t>
            </w:r>
          </w:p>
        </w:tc>
        <w:tc>
          <w:tcPr>
            <w:tcW w:w="3858" w:type="dxa"/>
            <w:tcBorders/>
            <w:shd w:color="auto" w:fill="auto" w:val="clear"/>
          </w:tcPr>
          <w:p>
            <w:pPr>
              <w:pStyle w:val="Normal"/>
              <w:spacing w:lineRule="auto" w:line="240" w:before="0" w:after="0"/>
              <w:rPr/>
            </w:pPr>
            <w:r>
              <w:rPr>
                <w:rFonts w:cs="Times New Roman" w:ascii="Times New Roman" w:hAnsi="Times New Roman"/>
                <w:sz w:val="24"/>
                <w:szCs w:val="24"/>
              </w:rPr>
              <w:t>Размер и порядок вознаграждения продавца</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Вознаграждение не предусмотрено.</w:t>
            </w:r>
          </w:p>
        </w:tc>
      </w:tr>
      <w:tr>
        <w:trPr/>
        <w:tc>
          <w:tcPr>
            <w:tcW w:w="538" w:type="dxa"/>
            <w:tcBorders/>
            <w:shd w:color="auto" w:fill="auto" w:val="clear"/>
          </w:tcPr>
          <w:p>
            <w:pPr>
              <w:pStyle w:val="Normal"/>
              <w:spacing w:lineRule="auto" w:line="240" w:before="0" w:after="0"/>
              <w:jc w:val="center"/>
              <w:rPr/>
            </w:pPr>
            <w:r>
              <w:rPr>
                <w:rFonts w:cs="Times New Roman" w:ascii="Times New Roman" w:hAnsi="Times New Roman"/>
                <w:sz w:val="24"/>
                <w:szCs w:val="24"/>
              </w:rPr>
              <w:t>16</w:t>
            </w:r>
          </w:p>
        </w:tc>
        <w:tc>
          <w:tcPr>
            <w:tcW w:w="3858" w:type="dxa"/>
            <w:tcBorders/>
            <w:shd w:color="auto" w:fill="auto" w:val="clear"/>
          </w:tcPr>
          <w:p>
            <w:pPr>
              <w:pStyle w:val="Normal"/>
              <w:spacing w:lineRule="auto" w:line="240" w:before="0" w:after="0"/>
              <w:rPr/>
            </w:pPr>
            <w:r>
              <w:rPr>
                <w:rFonts w:cs="Times New Roman" w:ascii="Times New Roman" w:hAnsi="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386" w:type="dxa"/>
            <w:tcBorders/>
            <w:shd w:color="auto" w:fill="auto" w:val="clear"/>
          </w:tcPr>
          <w:p>
            <w:pPr>
              <w:pStyle w:val="Normal"/>
              <w:spacing w:lineRule="auto" w:line="240" w:before="0" w:after="0"/>
              <w:ind w:firstLine="318"/>
              <w:jc w:val="both"/>
              <w:rPr/>
            </w:pPr>
            <w:r>
              <w:rPr>
                <w:rFonts w:cs="Times New Roman" w:ascii="Times New Roman" w:hAnsi="Times New Roman"/>
                <w:sz w:val="24"/>
                <w:szCs w:val="24"/>
              </w:rPr>
              <w:t>Указанное в Приложении №1 имущество выставлялось на</w:t>
            </w:r>
            <w:r>
              <w:rPr>
                <w:rFonts w:cs="Times New Roman" w:ascii="Times New Roman" w:hAnsi="Times New Roman"/>
                <w:color w:val="000000"/>
                <w:sz w:val="24"/>
                <w:szCs w:val="24"/>
              </w:rPr>
              <w:t xml:space="preserve"> продажу путем проведения аукциона. Аукцион (изв. № </w:t>
            </w:r>
            <w:r>
              <w:rPr>
                <w:rFonts w:eastAsia="Calibri" w:cs="Times New Roman" w:ascii="Times New Roman" w:hAnsi="Times New Roman"/>
                <w:color w:val="000000"/>
                <w:sz w:val="24"/>
                <w:szCs w:val="24"/>
              </w:rPr>
              <w:t>090621/30312911/05</w:t>
            </w:r>
            <w:r>
              <w:rPr>
                <w:rFonts w:cs="Times New Roman" w:ascii="Times New Roman" w:hAnsi="Times New Roman"/>
                <w:color w:val="000000"/>
                <w:sz w:val="24"/>
                <w:szCs w:val="24"/>
              </w:rPr>
              <w:t>, № ГП</w:t>
            </w:r>
            <w:r>
              <w:rPr>
                <w:rFonts w:eastAsia="Calibri" w:cs="Times New Roman" w:ascii="Times New Roman" w:hAnsi="Times New Roman"/>
                <w:color w:val="000000"/>
                <w:sz w:val="24"/>
                <w:szCs w:val="24"/>
              </w:rPr>
              <w:t>1189</w:t>
            </w:r>
            <w:r>
              <w:rPr>
                <w:rFonts w:eastAsia="Calibri" w:cs="Times New Roman" w:ascii="Times New Roman" w:hAnsi="Times New Roman"/>
                <w:color w:val="000000"/>
                <w:kern w:val="0"/>
                <w:sz w:val="24"/>
                <w:szCs w:val="24"/>
                <w:lang w:val="ru-RU" w:eastAsia="en-US" w:bidi="ar-SA"/>
              </w:rPr>
              <w:t>84</w:t>
            </w:r>
            <w:r>
              <w:rPr>
                <w:rFonts w:cs="Times New Roman" w:ascii="Times New Roman" w:hAnsi="Times New Roman"/>
                <w:color w:val="000000"/>
                <w:sz w:val="24"/>
                <w:szCs w:val="24"/>
              </w:rPr>
              <w:t xml:space="preserve">) признан несостоявшимся. </w:t>
            </w:r>
            <w:bookmarkStart w:id="0" w:name="_GoBack"/>
            <w:bookmarkEnd w:id="0"/>
          </w:p>
        </w:tc>
      </w:tr>
    </w:tbl>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Приложение: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Перечень движимого военного имущества, подлежащий продаже.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Проект договора купли-продажи движимого военного имущества.</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Заявка на участие в продаже (рекомендуемая форма).</w:t>
      </w:r>
    </w:p>
    <w:p>
      <w:pPr>
        <w:pStyle w:val="ListParagraph"/>
        <w:spacing w:lineRule="auto" w:line="240" w:before="0" w:after="0"/>
        <w:ind w:left="643" w:hanging="0"/>
        <w:contextualSpacing/>
        <w:jc w:val="both"/>
        <w:rPr/>
      </w:pPr>
      <w:r>
        <w:rPr/>
      </w:r>
    </w:p>
    <w:sectPr>
      <w:headerReference w:type="default" r:id="rId2"/>
      <w:type w:val="nextPage"/>
      <w:pgSz w:w="11906" w:h="16838"/>
      <w:pgMar w:left="1701" w:right="850" w:header="708" w:top="851"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Times New Roman">
    <w:charset w:val="01"/>
    <w:family w:val="roman"/>
    <w:pitch w:val="default"/>
  </w:font>
  <w:font w:name="PT Astra Serif">
    <w:charset w:val="01"/>
    <w:family w:val="roman"/>
    <w:pitch w:val="default"/>
  </w:font>
  <w:font w:name="Arial">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616736874"/>
    </w:sdtPr>
    <w:sdtContent>
      <w:p>
        <w:pPr>
          <w:pStyle w:val="Style23"/>
          <w:jc w:val="right"/>
          <w:rPr/>
        </w:pPr>
        <w:r>
          <w:rPr/>
          <w:fldChar w:fldCharType="begin"/>
        </w:r>
        <w:r>
          <w:rPr/>
          <w:instrText> PAGE </w:instrText>
        </w:r>
        <w:r>
          <w:rPr/>
          <w:fldChar w:fldCharType="separate"/>
        </w:r>
        <w:r>
          <w:rPr/>
          <w:t>4</w:t>
        </w:r>
        <w:r>
          <w:rPr/>
          <w:fldChar w:fldCharType="end"/>
        </w:r>
      </w:p>
    </w:sdtContent>
  </w:sdt>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10"/>
  <w:defaultTabStop w:val="708"/>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9b6f57"/>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uiPriority w:val="99"/>
    <w:qFormat/>
    <w:rsid w:val="00442f67"/>
    <w:rPr/>
  </w:style>
  <w:style w:type="character" w:styleId="Style15" w:customStyle="1">
    <w:name w:val="Нижний колонтитул Знак"/>
    <w:basedOn w:val="DefaultParagraphFont"/>
    <w:uiPriority w:val="99"/>
    <w:qFormat/>
    <w:rsid w:val="00442f67"/>
    <w:rPr/>
  </w:style>
  <w:style w:type="character" w:styleId="Style16" w:customStyle="1">
    <w:name w:val="Текст выноски Знак"/>
    <w:basedOn w:val="DefaultParagraphFont"/>
    <w:uiPriority w:val="99"/>
    <w:semiHidden/>
    <w:qFormat/>
    <w:rsid w:val="00a6184a"/>
    <w:rPr>
      <w:rFonts w:ascii="Tahoma" w:hAnsi="Tahoma" w:cs="Tahoma"/>
      <w:sz w:val="16"/>
      <w:szCs w:val="16"/>
    </w:rPr>
  </w:style>
  <w:style w:type="character" w:styleId="Appleconvertedspace" w:customStyle="1">
    <w:name w:val="apple-converted-space"/>
    <w:basedOn w:val="DefaultParagraphFont"/>
    <w:qFormat/>
    <w:rsid w:val="00510d77"/>
    <w:rPr/>
  </w:style>
  <w:style w:type="character" w:styleId="FontStyle13" w:customStyle="1">
    <w:name w:val="Font Style13"/>
    <w:basedOn w:val="DefaultParagraphFont"/>
    <w:qFormat/>
    <w:rPr>
      <w:rFonts w:ascii="Times New Roman" w:hAnsi="Times New Roman" w:cs="Times New Roman"/>
      <w:b/>
      <w:bCs/>
      <w:sz w:val="22"/>
      <w:szCs w:val="22"/>
    </w:rPr>
  </w:style>
  <w:style w:type="paragraph" w:styleId="Style17" w:customStyle="1">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Caption">
    <w:name w:val="caption"/>
    <w:basedOn w:val="Normal"/>
    <w:qFormat/>
    <w:pPr>
      <w:suppressLineNumbers/>
      <w:spacing w:before="120" w:after="120"/>
    </w:pPr>
    <w:rPr>
      <w:rFonts w:ascii="PT Astra Serif" w:hAnsi="PT Astra Serif" w:cs="Noto Sans Devanagari"/>
      <w:i/>
      <w:iCs/>
      <w:sz w:val="24"/>
      <w:szCs w:val="24"/>
    </w:rPr>
  </w:style>
  <w:style w:type="paragraph" w:styleId="Indexheading">
    <w:name w:val="index heading"/>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9f7dae"/>
    <w:pPr>
      <w:spacing w:before="0" w:after="200"/>
      <w:ind w:left="720" w:hanging="0"/>
      <w:contextualSpacing/>
    </w:pPr>
    <w:rPr/>
  </w:style>
  <w:style w:type="paragraph" w:styleId="ConsPlusNormal" w:customStyle="1">
    <w:name w:val="ConsPlusNormal"/>
    <w:qFormat/>
    <w:rsid w:val="009f7dae"/>
    <w:pPr>
      <w:widowControl w:val="false"/>
      <w:suppressAutoHyphens w:val="true"/>
      <w:bidi w:val="0"/>
      <w:spacing w:before="0" w:after="0"/>
      <w:jc w:val="left"/>
    </w:pPr>
    <w:rPr>
      <w:rFonts w:ascii="Arial" w:hAnsi="Arial" w:eastAsia="" w:cs="Arial" w:eastAsiaTheme="minorEastAsia"/>
      <w:color w:val="auto"/>
      <w:kern w:val="0"/>
      <w:sz w:val="22"/>
      <w:szCs w:val="20"/>
      <w:lang w:val="ru-RU" w:eastAsia="ru-RU" w:bidi="ar-SA"/>
    </w:rPr>
  </w:style>
  <w:style w:type="paragraph" w:styleId="Style22" w:customStyle="1">
    <w:name w:val="Верхний и нижний колонтитулы"/>
    <w:basedOn w:val="Normal"/>
    <w:qFormat/>
    <w:pPr/>
    <w:rPr/>
  </w:style>
  <w:style w:type="paragraph" w:styleId="Style23">
    <w:name w:val="Header"/>
    <w:basedOn w:val="Normal"/>
    <w:uiPriority w:val="99"/>
    <w:unhideWhenUsed/>
    <w:rsid w:val="00442f67"/>
    <w:pPr>
      <w:tabs>
        <w:tab w:val="clear" w:pos="708"/>
        <w:tab w:val="center" w:pos="4677" w:leader="none"/>
        <w:tab w:val="right" w:pos="9355" w:leader="none"/>
      </w:tabs>
      <w:spacing w:lineRule="auto" w:line="240" w:before="0" w:after="0"/>
    </w:pPr>
    <w:rPr/>
  </w:style>
  <w:style w:type="paragraph" w:styleId="Style24">
    <w:name w:val="Footer"/>
    <w:basedOn w:val="Normal"/>
    <w:uiPriority w:val="99"/>
    <w:unhideWhenUsed/>
    <w:rsid w:val="00442f67"/>
    <w:pPr>
      <w:tabs>
        <w:tab w:val="clear" w:pos="708"/>
        <w:tab w:val="center" w:pos="4677" w:leader="none"/>
        <w:tab w:val="right" w:pos="9355" w:leader="none"/>
      </w:tabs>
      <w:spacing w:lineRule="auto" w:line="240" w:before="0" w:after="0"/>
    </w:pPr>
    <w:rPr/>
  </w:style>
  <w:style w:type="paragraph" w:styleId="BalloonText">
    <w:name w:val="Balloon Text"/>
    <w:basedOn w:val="Normal"/>
    <w:uiPriority w:val="99"/>
    <w:semiHidden/>
    <w:unhideWhenUsed/>
    <w:qFormat/>
    <w:rsid w:val="00a6184a"/>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f0">
    <w:name w:val="Table Grid"/>
    <w:basedOn w:val="a1"/>
    <w:uiPriority w:val="59"/>
    <w:rsid w:val="009f7dae"/>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B3138E-C525-4F01-8DD6-A85FA22BAA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360</TotalTime>
  <Application>LibreOffice/6.4.4.2$Linux_X86_64 LibreOffice_project/40$Build-2</Application>
  <Pages>4</Pages>
  <Words>979</Words>
  <Characters>6709</Characters>
  <CharactersWithSpaces>7606</CharactersWithSpaces>
  <Paragraphs>97</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2019-07-31T08:30:00Z</dcterms:created>
  <dc:creator>Подуздов Юрий Александрович</dc:creator>
  <dc:description/>
  <dc:language>ru-RU</dc:language>
  <cp:lastModifiedBy/>
  <cp:lastPrinted>2021-07-27T10:58:21Z</cp:lastPrinted>
  <dcterms:modified xsi:type="dcterms:W3CDTF">2021-07-27T11:20:53Z</dcterms:modified>
  <cp:revision>71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