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1.3в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Вещевое имущество, технические средства вещевой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 xml:space="preserve">Указанное в Приложении №1 имущество выставлялось на продажу путём проведения аукциона. Аукцион (изв. № 270421/30312911/10, ГП 129527)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w:t>
            </w:r>
            <w:r>
              <w:rPr>
                <w:rFonts w:cs="Times New Roman" w:ascii="Times New Roman" w:hAnsi="Times New Roman"/>
                <w:sz w:val="24"/>
                <w:szCs w:val="24"/>
              </w:rPr>
              <w:t>10</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119204</w:t>
            </w:r>
            <w:r>
              <w:rPr>
                <w:rFonts w:cs="Times New Roman" w:ascii="Times New Roman" w:hAnsi="Times New Roman"/>
                <w:sz w:val="24"/>
                <w:szCs w:val="24"/>
              </w:rPr>
              <w:t>)</w:t>
            </w:r>
            <w:r>
              <w:rPr>
                <w:rFonts w:cs="Times New Roman" w:ascii="Times New Roman" w:hAnsi="Times New Roman"/>
                <w:sz w:val="24"/>
                <w:szCs w:val="24"/>
              </w:rPr>
              <w:t xml:space="preserve">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447772340"/>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Application>LibreOffice/6.4.4.2$Linux_X86_64 LibreOffice_project/40$Build-2</Application>
  <Pages>4</Pages>
  <Words>835</Words>
  <Characters>5920</Characters>
  <CharactersWithSpaces>6692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2021-08-23T11:07:19Z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