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Информационное сообщение </w:t>
      </w:r>
    </w:p>
    <w:p>
      <w:pPr>
        <w:pStyle w:val="Normal"/>
        <w:spacing w:lineRule="auto" w:line="240" w:before="0" w:after="0"/>
        <w:ind w:firstLine="561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о проведении аукциона в электронной форме по продаже 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высвобождаемого движимого военного имущества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10203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624"/>
        <w:gridCol w:w="4282"/>
        <w:gridCol w:w="5297"/>
      </w:tblGrid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Информация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Сводного перечня движимого военного имущества, подлежащего реализации в  </w:t>
            </w:r>
            <w:r>
              <w:rPr>
                <w:rFonts w:eastAsia="Calibri" w:cs="Times New Roman" w:ascii="Times New Roman" w:hAnsi="Times New Roman" w:eastAsiaTheme="minorHAnsi"/>
                <w:bCs/>
                <w:color w:val="auto"/>
                <w:kern w:val="0"/>
                <w:sz w:val="24"/>
                <w:szCs w:val="24"/>
                <w:lang w:val="ru-RU" w:eastAsia="en-US" w:bidi="ar-SA"/>
              </w:rPr>
              <w:t>Департамента техники и вооружения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в </w:t>
            </w:r>
            <w:r>
              <w:rPr>
                <w:rFonts w:eastAsia="Times New Roman" w:cs="Times New Roman" w:ascii="Times New Roman" w:hAnsi="Times New Roman"/>
                <w:color w:val="auto"/>
                <w:kern w:val="0"/>
                <w:sz w:val="24"/>
                <w:szCs w:val="24"/>
                <w:lang w:val="ru-RU" w:eastAsia="ru-RU" w:bidi="ar-SA"/>
              </w:rPr>
              <w:t>2022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году (сопроводительное письмо от </w:t>
            </w:r>
            <w:r>
              <w:rPr>
                <w:rFonts w:eastAsia="Times New Roman" w:cs="Times New Roman" w:ascii="Times New Roman" w:hAnsi="Times New Roman"/>
                <w:color w:val="auto"/>
                <w:kern w:val="0"/>
                <w:sz w:val="24"/>
                <w:szCs w:val="24"/>
                <w:lang w:val="ru-RU" w:eastAsia="ru-RU" w:bidi="ar-SA"/>
              </w:rPr>
              <w:t>30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eastAsia="Times New Roman" w:cs="Times New Roman" w:ascii="Times New Roman" w:hAnsi="Times New Roman"/>
                <w:color w:val="auto"/>
                <w:kern w:val="0"/>
                <w:sz w:val="24"/>
                <w:szCs w:val="24"/>
                <w:lang w:val="ru-RU" w:eastAsia="ru-RU" w:bidi="ar-SA"/>
              </w:rPr>
              <w:t>12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eastAsia="Times New Roman" w:cs="Times New Roman" w:ascii="Times New Roman" w:hAnsi="Times New Roman"/>
                <w:color w:val="auto"/>
                <w:kern w:val="0"/>
                <w:sz w:val="24"/>
                <w:szCs w:val="24"/>
                <w:lang w:val="ru-RU" w:eastAsia="ru-RU" w:bidi="ar-SA"/>
              </w:rPr>
              <w:t>2018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№ 1/</w:t>
            </w:r>
            <w:r>
              <w:rPr>
                <w:rFonts w:eastAsia="Times New Roman" w:cs="Times New Roman" w:ascii="Times New Roman" w:hAnsi="Times New Roman"/>
                <w:color w:val="auto"/>
                <w:kern w:val="0"/>
                <w:sz w:val="24"/>
                <w:szCs w:val="24"/>
                <w:lang w:val="ru-RU" w:eastAsia="ru-RU" w:bidi="ar-SA"/>
              </w:rPr>
              <w:t>11797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)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ind w:right="-1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Высвобождаемое движимое  имущество </w:t>
            </w:r>
            <w:r>
              <w:rPr>
                <w:rFonts w:eastAsia="Calibri" w:cs="Times New Roman" w:ascii="Times New Roman" w:hAnsi="Times New Roman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автомобильной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службы.</w:t>
            </w:r>
          </w:p>
          <w:p>
            <w:pPr>
              <w:pStyle w:val="Normal"/>
              <w:spacing w:lineRule="auto" w:line="240" w:before="0" w:after="0"/>
              <w:ind w:right="-1" w:hanging="0"/>
              <w:jc w:val="both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Перечень и характеристика имущества указаны в Приложении № 1 к настоящему Информационному сообщению.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Местонахождение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имущества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:  </w:t>
            </w:r>
            <w:r>
              <w:rPr>
                <w:rFonts w:eastAsia="Arial Unicode MS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Анадырский отдел вневедомственной охраны — филиал ФГКУ «Отдел вневедомственной охраны по Чукотскому округу (м.д.г. Анадырь), 689000, Чукотский автономный округ, г. Анадырь, ул. Горького, д. 5.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Аукцион в электронной форме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имущества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 w:eastAsiaTheme="minorHAnsi"/>
                <w:bCs/>
                <w:color w:val="auto"/>
                <w:kern w:val="0"/>
                <w:sz w:val="24"/>
                <w:szCs w:val="24"/>
                <w:lang w:val="ru-RU" w:eastAsia="en-US" w:bidi="ar-SA"/>
              </w:rPr>
              <w:t>245</w:t>
            </w:r>
            <w:r>
              <w:rPr>
                <w:rFonts w:eastAsia="Calibri" w:cs="Times New Roman" w:ascii="Times New Roman" w:hAnsi="Times New Roman" w:eastAsiaTheme="minorHAnsi"/>
                <w:bCs/>
                <w:color w:val="auto"/>
                <w:kern w:val="0"/>
                <w:sz w:val="24"/>
                <w:szCs w:val="24"/>
                <w:lang w:val="ru-RU" w:eastAsia="en-US" w:bidi="ar-SA"/>
              </w:rPr>
              <w:t xml:space="preserve"> 000,00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 руб.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4"/>
                <w:szCs w:val="24"/>
                <w:lang w:val="ru-RU" w:eastAsia="en-US" w:bidi="ar-SA"/>
              </w:rPr>
              <w:t>5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% от цены продажи -   </w:t>
            </w:r>
            <w:r>
              <w:rPr>
                <w:rFonts w:eastAsia="Calibri" w:cs="Times New Roman" w:ascii="Times New Roman" w:hAnsi="Times New Roman" w:eastAsiaTheme="minorHAnsi"/>
                <w:bCs/>
                <w:color w:val="auto"/>
                <w:kern w:val="0"/>
                <w:sz w:val="24"/>
                <w:szCs w:val="24"/>
                <w:lang w:val="ru-RU" w:eastAsia="en-US" w:bidi="ar-SA"/>
              </w:rPr>
              <w:t>12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eastAsia="Calibri" w:cs="Times New Roman" w:ascii="Times New Roman" w:hAnsi="Times New Roman" w:eastAsiaTheme="minorHAnsi"/>
                <w:bCs/>
                <w:color w:val="auto"/>
                <w:kern w:val="0"/>
                <w:sz w:val="24"/>
                <w:szCs w:val="24"/>
                <w:lang w:val="ru-RU" w:eastAsia="en-US" w:bidi="ar-SA"/>
              </w:rPr>
              <w:t>250,00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руб.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sub_662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        </w:t>
            </w:r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>Денежные средства в счет оплаты государственного или муниципального имущества, подлежат перечислению победителем Балансодержателю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в течении 15 рабочих дней со дня заключения такого договора</w:t>
            </w:r>
            <w:bookmarkEnd w:id="0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</w:t>
            </w: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платежным реквизитам Балансодержателя</w:t>
            </w:r>
            <w:r>
              <w:rPr>
                <w:rFonts w:cs="Times New Roman" w:ascii="Times New Roman" w:hAnsi="Times New Roman"/>
                <w:color w:val="FF0000"/>
                <w:sz w:val="24"/>
                <w:szCs w:val="24"/>
              </w:rPr>
              <w:t>.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Размер задатка, срок и порядок его внесения, необходимые реквизиты счетов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       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20% от начальной цены реализации </w:t>
            </w:r>
            <w:r>
              <w:rPr>
                <w:rFonts w:cs="Times New Roman" w:ascii="Times New Roman" w:hAnsi="Times New Roman"/>
                <w:bCs/>
                <w:color w:val="000000"/>
                <w:sz w:val="24"/>
                <w:szCs w:val="24"/>
              </w:rPr>
              <w:t xml:space="preserve"> - </w:t>
            </w:r>
            <w:r>
              <w:rPr>
                <w:rFonts w:eastAsia="Calibri" w:cs="Times New Roman" w:ascii="Times New Roman" w:hAnsi="Times New Roman" w:eastAsiaTheme="minorHAnsi"/>
                <w:bCs/>
                <w:color w:val="auto"/>
                <w:kern w:val="0"/>
                <w:sz w:val="24"/>
                <w:szCs w:val="24"/>
                <w:lang w:val="ru-RU" w:eastAsia="en-US" w:bidi="ar-SA"/>
              </w:rPr>
              <w:t>49</w:t>
            </w:r>
            <w:r>
              <w:rPr>
                <w:rFonts w:cs="Times New Roman"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Calibri" w:cs="Times New Roman" w:ascii="Times New Roman" w:hAnsi="Times New Roman" w:eastAsiaTheme="minorHAnsi"/>
                <w:bCs/>
                <w:color w:val="auto"/>
                <w:kern w:val="0"/>
                <w:sz w:val="24"/>
                <w:szCs w:val="24"/>
                <w:lang w:val="ru-RU" w:eastAsia="en-US" w:bidi="ar-SA"/>
              </w:rPr>
              <w:t>000,00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 руб.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</w:rPr>
              <w:t>П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еречисление задатка претендентами на участие в аукционе претендент перечисляет в безналичном порядке денежные средства в валюте Российской Федерации на счет по </w:t>
            </w: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ИНН: 2720056970, КПП: 272001001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Получатель: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л/с 05221</w:t>
            </w: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F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91100.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р/с 40302810600001000001 в банке Отделение Хабаровск г. Хабаровск, БИК 040813001,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ОГРН 1172724007510, ОКПО 08721742.</w:t>
            </w:r>
          </w:p>
          <w:p>
            <w:pPr>
              <w:pStyle w:val="Normal"/>
              <w:spacing w:lineRule="auto" w:line="240" w:before="0" w:after="0"/>
              <w:ind w:firstLine="567"/>
              <w:jc w:val="both"/>
              <w:rPr>
                <w:i/>
                <w:i/>
                <w:color w:val="FF0000"/>
              </w:rPr>
            </w:pP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Задаток </w:t>
            </w:r>
            <w:r>
              <w:rPr>
                <w:rFonts w:cs="Times New Roman" w:ascii="Times New Roman" w:hAnsi="Times New Roman"/>
                <w:bCs/>
                <w:iCs/>
                <w:sz w:val="24"/>
                <w:szCs w:val="24"/>
              </w:rPr>
              <w:t>должен быть перечислен на указанный счет не позднее 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</w:t>
            </w:r>
            <w:r>
              <w:rPr>
                <w:rFonts w:eastAsia="Calibri" w:cs="Times New Roman" w:ascii="Times New Roman" w:hAnsi="Times New Roman" w:eastAsiaTheme="minorHAnsi"/>
                <w:b/>
                <w:bCs/>
                <w:iCs/>
                <w:color w:val="auto"/>
                <w:kern w:val="0"/>
                <w:sz w:val="24"/>
                <w:szCs w:val="24"/>
                <w:lang w:val="ru-RU" w:eastAsia="en-US" w:bidi="ar-SA"/>
              </w:rPr>
              <w:t>9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» </w:t>
            </w:r>
            <w:r>
              <w:rPr>
                <w:rFonts w:eastAsia="Calibri" w:cs="Times New Roman" w:ascii="Times New Roman" w:hAnsi="Times New Roman" w:eastAsiaTheme="minorHAnsi"/>
                <w:b/>
                <w:bCs/>
                <w:iCs/>
                <w:color w:val="auto"/>
                <w:kern w:val="0"/>
                <w:sz w:val="24"/>
                <w:szCs w:val="24"/>
                <w:lang w:val="ru-RU" w:eastAsia="en-US" w:bidi="ar-SA"/>
              </w:rPr>
              <w:t>ноября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eastAsia="Calibri" w:cs="Times New Roman" w:ascii="Times New Roman" w:hAnsi="Times New Roman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2022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г. 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Документом, подтверждающим поступление задатка на счет Продавца, является выписка со счета продавца.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претендента победителем аукциона,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соответствующей выпиской,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вправе распоряжаться денежными средствами, поступившими на счет Продавца в качестве задатка.</w:t>
            </w:r>
          </w:p>
          <w:p>
            <w:pPr>
              <w:pStyle w:val="Style22"/>
              <w:tabs>
                <w:tab w:val="clear" w:pos="708"/>
                <w:tab w:val="left" w:pos="1260" w:leader="none"/>
                <w:tab w:val="left" w:pos="7740" w:leader="none"/>
              </w:tabs>
              <w:ind w:firstLine="600"/>
              <w:rPr/>
            </w:pPr>
            <w:r>
              <w:rPr/>
              <w:t>На денежные средства, перечисленные претендентом в качестве задатка, проценты не начисляются.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  <w:u w:val="single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Задаток возвращается претенденту в следующих случаях и порядке: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если претенденту было отказано в приеме заявки на участие в аукционе, продавец обязуется возвратить сумму задатка на счет претендента, указанный в заявке, в течение 5 (пяти) дней с даты отказа в принятии заявки, проставленной продавцом на описи представленных претендентом документов;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- в случае если претендент не допущен к участию в аукционе, продавец обязуется возвратить сумму задатка 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если участник не признан победителем аукциона, продавец обязуется возвратить сумму задатка на счет, указанный в заявке, в течение 5 (пяти) дней с даты подведения итогов аукциона;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отзыва претендентом в установленном порядке заявки на участие в аукционе до даты окончания 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претендентом позднее даты окончания приема заявок, задаток возвращается в течение 5 (пяти) дней с даты подведения итогов аукциона;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- в случае признания аукциона несостоявшимся, продавец обязуется возвратить сумму задатка на счет участника, указанный в заявке, в течение 5 (пяти) дней с даты подведения итогов аукциона;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отмены проведения аукциона, продавец в течение 5 (пяти) дней с даты опубликования об этом информационного сообщения возвращает участнику сумму задатка на счет, указанный в заявке;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 предоставил недостоверные и (или) неполные сведения о своих реквизитах в заявке.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  <w:u w:val="single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если участник, признанный победителем аукциона, уклоняется или отказывается от заключения договора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для участников аукциона лицензируемым видом деятельности, осуществление которого в силу действующего законодательства возможно только при наличии соответствующей лицензии;</w:t>
            </w:r>
          </w:p>
          <w:p>
            <w:pPr>
              <w:pStyle w:val="Normal"/>
              <w:widowControl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bidi w:val="0"/>
              <w:spacing w:lineRule="auto" w:line="240" w:before="0" w:after="0"/>
              <w:ind w:left="0" w:right="0" w:firstLine="6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79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Порядок, место, даты начала и окончания подачи заявок на участие в продаже, рассмотрение заявок, признание претендентами участников торгов Порядок разъяснения запросов.  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       </w:t>
            </w: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2">
              <w:r>
                <w:rPr>
                  <w:rFonts w:eastAsia="" w:cs="Times New Roman CYR" w:ascii="Times New Roman CYR" w:hAnsi="Times New Roman CYR" w:eastAsiaTheme="minorEastAsia"/>
                  <w:color w:val="106BBE"/>
                  <w:sz w:val="24"/>
                  <w:szCs w:val="24"/>
                  <w:lang w:eastAsia="ru-RU"/>
                </w:rPr>
                <w:t>Федеральным законом</w:t>
              </w:r>
            </w:hyperlink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 о приватизации.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Заявка подается оператору Торговаой площадки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«Росэлторг»). Сайт.</w:t>
            </w:r>
            <w:hyperlink r:id="rId3"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https://</w:t>
              </w:r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Одно лицо имеет право подать только одну заявку. </w:t>
            </w:r>
          </w:p>
          <w:p>
            <w:pPr>
              <w:pStyle w:val="Normal"/>
              <w:widowControl w:val="false"/>
              <w:bidi w:val="0"/>
              <w:spacing w:lineRule="auto" w:line="240" w:before="0" w:after="0"/>
              <w:ind w:left="0" w:right="0" w:firstLine="510"/>
              <w:jc w:val="both"/>
              <w:rPr>
                <w:rFonts w:ascii="Times New Roman" w:hAnsi="Times New Roman" w:eastAsia="" w:cs="Times New Roman" w:eastAsiaTheme="minorEastAsia"/>
                <w:sz w:val="24"/>
                <w:szCs w:val="24"/>
                <w:lang w:eastAsia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      </w:r>
            <w:bookmarkStart w:id="1" w:name="sub_221"/>
            <w:bookmarkEnd w:id="1"/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начала приема заявок на участие в аукционе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</w:t>
            </w:r>
            <w:r>
              <w:rPr>
                <w:rFonts w:eastAsia="Calibri" w:cs="Times New Roman" w:ascii="Times New Roman" w:hAnsi="Times New Roman" w:eastAsiaTheme="minorHAnsi"/>
                <w:b/>
                <w:bCs/>
                <w:iCs/>
                <w:color w:val="auto"/>
                <w:kern w:val="0"/>
                <w:sz w:val="24"/>
                <w:szCs w:val="24"/>
                <w:lang w:val="ru-RU" w:eastAsia="en-US" w:bidi="ar-SA"/>
              </w:rPr>
              <w:t>11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» </w:t>
            </w:r>
            <w:r>
              <w:rPr>
                <w:rFonts w:eastAsia="Calibri" w:cs="Times New Roman" w:ascii="Times New Roman" w:hAnsi="Times New Roman" w:eastAsiaTheme="minorHAnsi"/>
                <w:b/>
                <w:bCs/>
                <w:iCs/>
                <w:color w:val="auto"/>
                <w:kern w:val="0"/>
                <w:sz w:val="24"/>
                <w:szCs w:val="24"/>
                <w:lang w:val="ru-RU" w:eastAsia="en-US" w:bidi="ar-SA"/>
              </w:rPr>
              <w:t>октября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eastAsia="Calibri" w:cs="Times New Roman" w:ascii="Times New Roman" w:hAnsi="Times New Roman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2022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г.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окончания приема заявок на участие в аукционе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</w:t>
            </w:r>
            <w:r>
              <w:rPr>
                <w:rFonts w:eastAsia="Calibri" w:cs="Times New Roman" w:ascii="Times New Roman" w:hAnsi="Times New Roman" w:eastAsiaTheme="minorHAnsi"/>
                <w:b/>
                <w:bCs/>
                <w:iCs/>
                <w:color w:val="auto"/>
                <w:kern w:val="0"/>
                <w:sz w:val="24"/>
                <w:szCs w:val="24"/>
                <w:lang w:val="ru-RU" w:eastAsia="en-US" w:bidi="ar-SA"/>
              </w:rPr>
              <w:t>2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» </w:t>
            </w:r>
            <w:r>
              <w:rPr>
                <w:rFonts w:eastAsia="Calibri" w:cs="Times New Roman" w:ascii="Times New Roman" w:hAnsi="Times New Roman" w:eastAsiaTheme="minorHAnsi"/>
                <w:b/>
                <w:bCs/>
                <w:iCs/>
                <w:color w:val="auto"/>
                <w:kern w:val="0"/>
                <w:sz w:val="24"/>
                <w:szCs w:val="24"/>
                <w:lang w:val="ru-RU" w:eastAsia="en-US" w:bidi="ar-SA"/>
              </w:rPr>
              <w:t>ноября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eastAsia="Calibri" w:cs="Times New Roman" w:ascii="Times New Roman" w:hAnsi="Times New Roman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2022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г. в 15 ч. 00 мин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.</w:t>
            </w:r>
          </w:p>
          <w:p>
            <w:pPr>
              <w:pStyle w:val="HTMLPreformatted"/>
              <w:ind w:firstLine="540"/>
              <w:jc w:val="both"/>
              <w:rPr/>
            </w:pP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Рассмотрение заявок «</w:t>
            </w:r>
            <w:r>
              <w:rPr>
                <w:rFonts w:eastAsia="Times New Roman" w:cs="Times New Roman" w:ascii="Times New Roman" w:hAnsi="Times New Roman"/>
                <w:b/>
                <w:bCs/>
                <w:iCs/>
                <w:color w:val="auto"/>
                <w:kern w:val="0"/>
                <w:sz w:val="24"/>
                <w:szCs w:val="24"/>
                <w:lang w:val="ru-RU" w:eastAsia="ru-RU" w:bidi="ar-SA"/>
              </w:rPr>
              <w:t>14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» </w:t>
            </w:r>
            <w:r>
              <w:rPr>
                <w:rFonts w:eastAsia="Times New Roman" w:cs="Times New Roman" w:ascii="Times New Roman" w:hAnsi="Times New Roman"/>
                <w:b/>
                <w:bCs/>
                <w:iCs/>
                <w:color w:val="auto"/>
                <w:kern w:val="0"/>
                <w:sz w:val="24"/>
                <w:szCs w:val="24"/>
                <w:lang w:val="ru-RU" w:eastAsia="ru-RU" w:bidi="ar-SA"/>
              </w:rPr>
              <w:t>ноября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/>
                <w:bCs/>
                <w:iCs/>
                <w:color w:val="auto"/>
                <w:kern w:val="0"/>
                <w:sz w:val="24"/>
                <w:szCs w:val="24"/>
                <w:lang w:val="ru-RU" w:eastAsia="ru-RU" w:bidi="ar-SA"/>
              </w:rPr>
              <w:t>2022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г.</w:t>
            </w:r>
            <w:r>
              <w:rPr>
                <w:rFonts w:cs="Times New Roman" w:ascii="Times New Roman" w:hAnsi="Times New Roman"/>
                <w:bCs/>
                <w:iCs/>
                <w:sz w:val="24"/>
                <w:szCs w:val="24"/>
              </w:rPr>
              <w:t xml:space="preserve"> по адресу: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г. Хабаровск, ул. Серышева, 60.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       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Решение продавца о признании претендентов участниками аукциона</w:t>
            </w:r>
            <w:bookmarkStart w:id="2" w:name="sub_701"/>
            <w:r>
              <w:rPr>
                <w:rFonts w:eastAsia="" w:cs="Times New Roman CYR" w:ascii="Times New Roman CYR" w:hAnsi="Times New Roman CYR" w:eastAsiaTheme="minorEastAsia"/>
                <w:b/>
                <w:sz w:val="24"/>
                <w:szCs w:val="24"/>
                <w:lang w:eastAsia="ru-RU"/>
              </w:rPr>
              <w:t xml:space="preserve"> </w:t>
            </w:r>
            <w:bookmarkEnd w:id="2"/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«</w:t>
            </w:r>
            <w:r>
              <w:rPr>
                <w:rFonts w:eastAsia="Calibri" w:cs="Times New Roman" w:ascii="Times New Roman" w:hAnsi="Times New Roman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8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» </w:t>
            </w:r>
            <w:r>
              <w:rPr>
                <w:rFonts w:eastAsia="Calibri" w:cs="Times New Roman" w:ascii="Times New Roman" w:hAnsi="Times New Roman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ноября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eastAsia="Calibri" w:cs="Times New Roman" w:ascii="Times New Roman" w:hAnsi="Times New Roman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2022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г.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В течение 2 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  <w:bookmarkStart w:id="3" w:name="sub_583"/>
            <w:bookmarkEnd w:id="3"/>
          </w:p>
          <w:p>
            <w:pPr>
              <w:pStyle w:val="Normal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791" w:hRule="atLeast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Дата, время и место проведения аукциона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HTMLPreformatted"/>
              <w:ind w:firstLine="540"/>
              <w:jc w:val="both"/>
              <w:rPr>
                <w:rFonts w:ascii="Times New Roman" w:hAnsi="Times New Roman" w:cs="Times New Roman"/>
                <w:b/>
                <w:b/>
                <w:bCs/>
                <w:i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Проведение процедуры аукциона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- «</w:t>
            </w:r>
            <w:r>
              <w:rPr>
                <w:rFonts w:eastAsia="Times New Roman" w:cs="Times New Roman" w:ascii="Times New Roman" w:hAnsi="Times New Roman"/>
                <w:b/>
                <w:bCs/>
                <w:iCs/>
                <w:color w:val="auto"/>
                <w:kern w:val="0"/>
                <w:sz w:val="24"/>
                <w:szCs w:val="24"/>
                <w:lang w:val="ru-RU" w:eastAsia="ru-RU" w:bidi="ar-SA"/>
              </w:rPr>
              <w:t>11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» </w:t>
            </w:r>
            <w:r>
              <w:rPr>
                <w:rFonts w:eastAsia="Times New Roman" w:cs="Times New Roman" w:ascii="Times New Roman" w:hAnsi="Times New Roman"/>
                <w:b/>
                <w:bCs/>
                <w:iCs/>
                <w:color w:val="auto"/>
                <w:kern w:val="0"/>
                <w:sz w:val="24"/>
                <w:szCs w:val="24"/>
                <w:lang w:val="ru-RU" w:eastAsia="ru-RU" w:bidi="ar-SA"/>
              </w:rPr>
              <w:t>ноября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/>
                <w:color w:val="auto"/>
                <w:kern w:val="0"/>
                <w:sz w:val="24"/>
                <w:szCs w:val="24"/>
                <w:lang w:val="ru-RU" w:eastAsia="ru-RU" w:bidi="ar-SA"/>
              </w:rPr>
              <w:t>2022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г. в 15 ч. 00 мин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HTMLPreformatte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АО «ЕЭТП» или «Росэлторг») </w:t>
            </w:r>
            <w:hyperlink r:id="rId4">
              <w:r>
                <w:rPr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</w:rPr>
                <w:t>https://</w:t>
              </w:r>
              <w:r>
                <w:rPr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www</w:t>
              </w:r>
              <w:r>
                <w:rPr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</w:rPr>
                <w:t>.roseltorg.ru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>.</w:t>
            </w:r>
          </w:p>
          <w:p>
            <w:pPr>
              <w:pStyle w:val="HTMLPreformatted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51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  <w:u w:val="single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Заявка (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shd w:fill="FFFFFF" w:val="clear"/>
                <w:lang w:eastAsia="ru-RU"/>
              </w:rPr>
              <w:t>приложение № 2,3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) подается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5">
              <w:r>
                <w:rPr>
                  <w:rFonts w:eastAsia="Times New Roman" w:cs="Times New Roman" w:ascii="Times New Roman" w:hAnsi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</w:t>
              <w:br/>
              <w:t>от 21 декабря 2001 г. № 178-ФЗ «О приватизации государственного и муниципального имущества».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397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подписью.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397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567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567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567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68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68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6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6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Физические лица: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>
            <w:pPr>
              <w:pStyle w:val="Normal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uto" w:line="240" w:before="0" w:after="0"/>
              <w:ind w:firstLine="540"/>
              <w:jc w:val="both"/>
              <w:rPr>
                <w:rFonts w:ascii="Verdana" w:hAnsi="Verdana" w:eastAsia="Times New Roman" w:cs="Courier New"/>
                <w:sz w:val="21"/>
                <w:szCs w:val="21"/>
                <w:lang w:eastAsia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указанных документов не соответствует законодательству Российской Федерации;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сообщении.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результатам аукциона продавец и победитель аукциона (покупатель) в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дней со дня подведения итогов аукциона заключают в соответствии с </w:t>
            </w:r>
            <w:hyperlink r:id="rId6">
              <w:r>
                <w:rPr>
                  <w:rFonts w:ascii="Times New Roman" w:hAnsi="Times New Roman"/>
                  <w:sz w:val="24"/>
                  <w:szCs w:val="24"/>
                </w:rPr>
                <w:t>законодательством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7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8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+7(914)</w:t>
            </w:r>
            <w:r>
              <w:rPr>
                <w:rFonts w:eastAsia="Calibri" w:cs="TimesNewRomanPSMT" w:ascii="TimesNewRomanPSMT" w:hAnsi="TimesNewRomanPSMT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316</w:t>
            </w:r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-</w:t>
            </w:r>
            <w:r>
              <w:rPr>
                <w:rFonts w:eastAsia="Calibri" w:cs="TimesNewRomanPSMT" w:ascii="TimesNewRomanPSMT" w:hAnsi="TimesNewRomanPSMT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83</w:t>
            </w:r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-</w:t>
            </w:r>
            <w:r>
              <w:rPr>
                <w:rFonts w:eastAsia="Calibri" w:cs="TimesNewRomanPSMT" w:ascii="TimesNewRomanPSMT" w:hAnsi="TimesNewRomanPSMT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75</w:t>
            </w:r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, +7(4212)34-04-</w:t>
            </w:r>
            <w:r>
              <w:rPr>
                <w:rFonts w:eastAsia="Calibri" w:cs="TimesNewRomanPSMT" w:ascii="TimesNewRomanPSMT" w:hAnsi="TimesNewRomanPSMT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85</w:t>
            </w:r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.</w:t>
            </w:r>
            <w:bookmarkStart w:id="4" w:name="_GoBack"/>
            <w:bookmarkEnd w:id="4"/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/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 определения победителей при проведении аукциона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а) поступило предложение о начальной цене имущества, то время для представления следующих предложений об увеличенной на "шаг аукциона"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5" w:name="sub_80"/>
            <w:bookmarkEnd w:id="5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б) 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случае временем окончания представления предложений о цене имущества является время завершения аукциона.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6" w:name="sub_801"/>
            <w:bookmarkStart w:id="7" w:name="sub_84"/>
            <w:bookmarkEnd w:id="6"/>
            <w:bookmarkEnd w:id="7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При этом программными средствами электронной площадки обеспечивается: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8" w:name="sub_841"/>
            <w:bookmarkStart w:id="9" w:name="sub_82"/>
            <w:bookmarkEnd w:id="8"/>
            <w:bookmarkEnd w:id="9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а) исключение возможности подачи участником предложения о цене имущества, не соответствующего увеличению текущей цены на величину "шага аукциона";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0" w:name="sub_821"/>
            <w:bookmarkStart w:id="11" w:name="sub_83"/>
            <w:bookmarkEnd w:id="10"/>
            <w:bookmarkEnd w:id="11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б) 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2" w:name="sub_831"/>
            <w:bookmarkEnd w:id="12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Победителем признается участник, предложивший наиболее высокую цену имущества.</w:t>
            </w:r>
            <w:bookmarkStart w:id="13" w:name="sub_85"/>
            <w:bookmarkEnd w:id="13"/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Процедура аукциона считается завершенной со времени подписания продавцом протокола об итогах аукциона.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4" w:name="sub_92"/>
            <w:bookmarkEnd w:id="14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Аукцион признается несостоявшимся в следующих случаях: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5" w:name="sub_921"/>
            <w:bookmarkStart w:id="16" w:name="sub_89"/>
            <w:bookmarkEnd w:id="15"/>
            <w:bookmarkEnd w:id="16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а) не было подано ни одной заявки на участие либо ни один из претендентов не признан участником;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7" w:name="sub_891"/>
            <w:bookmarkStart w:id="18" w:name="sub_90"/>
            <w:bookmarkEnd w:id="17"/>
            <w:bookmarkEnd w:id="18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б) принято решение о признании только одного претендента участником;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9" w:name="sub_901"/>
            <w:bookmarkEnd w:id="19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в) ни один из участников не сделал предложение о начальной цене имущества.</w:t>
            </w:r>
          </w:p>
        </w:tc>
      </w:tr>
    </w:tbl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1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Перечень высвобождаемого движимого военного имущества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10768" w:type="dxa"/>
        <w:jc w:val="left"/>
        <w:tblInd w:w="-601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565"/>
        <w:gridCol w:w="2778"/>
        <w:gridCol w:w="964"/>
        <w:gridCol w:w="1187"/>
        <w:gridCol w:w="2154"/>
        <w:gridCol w:w="3119"/>
      </w:tblGrid>
      <w:tr>
        <w:trPr>
          <w:tblHeader w:val="true"/>
          <w:trHeight w:val="1464" w:hRule="atLeast"/>
        </w:trPr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b w:val="false"/>
                <w:bCs w:val="false"/>
                <w:sz w:val="24"/>
                <w:szCs w:val="24"/>
              </w:rPr>
              <w:t>п/п</w:t>
            </w:r>
          </w:p>
        </w:tc>
        <w:tc>
          <w:tcPr>
            <w:tcW w:w="27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sz w:val="24"/>
                <w:szCs w:val="24"/>
              </w:rPr>
              <w:t>Наименование имущества</w:t>
            </w:r>
          </w:p>
        </w:tc>
        <w:tc>
          <w:tcPr>
            <w:tcW w:w="9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sz w:val="24"/>
                <w:szCs w:val="24"/>
              </w:rPr>
              <w:t>Ед. изм.</w:t>
            </w:r>
          </w:p>
        </w:tc>
        <w:tc>
          <w:tcPr>
            <w:tcW w:w="11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sz w:val="24"/>
                <w:szCs w:val="24"/>
              </w:rPr>
              <w:t>Кол-во</w:t>
            </w:r>
          </w:p>
        </w:tc>
        <w:tc>
          <w:tcPr>
            <w:tcW w:w="215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4"/>
                <w:szCs w:val="24"/>
                <w:lang w:eastAsia="ru-RU"/>
              </w:rPr>
              <w:t>Место нахождение имущества</w:t>
            </w:r>
          </w:p>
        </w:tc>
      </w:tr>
      <w:tr>
        <w:trPr>
          <w:trHeight w:val="20" w:hRule="atLeast"/>
        </w:trPr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2778" w:type="dxa"/>
            <w:tcBorders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auto"/>
                <w:kern w:val="0"/>
                <w:sz w:val="28"/>
                <w:szCs w:val="28"/>
                <w:lang w:val="ru-RU" w:eastAsia="ru-RU" w:bidi="ar-SA"/>
              </w:rPr>
              <w:t xml:space="preserve">Легковой автомобиль 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auto"/>
                <w:kern w:val="0"/>
                <w:sz w:val="28"/>
                <w:szCs w:val="28"/>
                <w:lang w:val="ru-RU" w:eastAsia="ru-RU" w:bidi="ar-SA"/>
              </w:rPr>
              <w:t>УАЗ-315195, 2008  года выпуска,  VIN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kern w:val="0"/>
                <w:sz w:val="28"/>
                <w:szCs w:val="28"/>
                <w:lang w:val="ru-RU" w:eastAsia="ru-RU" w:bidi="ar-SA"/>
              </w:rPr>
              <w:t xml:space="preserve"> № ХТТ 31519580559708</w:t>
            </w:r>
          </w:p>
        </w:tc>
        <w:tc>
          <w:tcPr>
            <w:tcW w:w="964" w:type="dxa"/>
            <w:tcBorders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ед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54" w:type="dxa"/>
            <w:tcBorders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Технически неисправен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  <w:szCs w:val="22"/>
              </w:rPr>
            </w:pPr>
            <w:r>
              <w:rPr>
                <w:rStyle w:val="FontStyle19"/>
                <w:rFonts w:eastAsia="Arial Unicode MS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  <w:lang w:val="ru-RU" w:eastAsia="ar-SA" w:bidi="ar-SA"/>
              </w:rPr>
              <w:t>Анадырский отдел вневедомственной охраны - филиал ФГКУ «Отдел вневедомственной охраны по Чукотскому округу (</w:t>
            </w:r>
            <w:r>
              <w:rPr>
                <w:rStyle w:val="FontStyle19"/>
                <w:rFonts w:eastAsia="Arial Unicode MS" w:cs="Times New Roman" w:ascii="Times New Roman" w:hAnsi="Times New Roman"/>
                <w:b w:val="false"/>
                <w:bCs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  <w:lang w:val="ru-RU" w:eastAsia="ar-SA" w:bidi="ar-SA"/>
              </w:rPr>
              <w:t>м.д. пос. Беринговский)</w:t>
            </w:r>
            <w:r>
              <w:rPr>
                <w:rStyle w:val="FontStyle19"/>
                <w:rFonts w:eastAsia="Arial Unicode MS" w:cs="Times New Roman" w:ascii="Times New Roman" w:hAnsi="Times New Roman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  <w:lang w:val="ru-RU" w:eastAsia="ar-SA" w:bidi="ar-SA"/>
              </w:rPr>
              <w:t xml:space="preserve">, </w:t>
            </w:r>
            <w:r>
              <w:rPr>
                <w:rStyle w:val="FontStyle19"/>
                <w:rFonts w:eastAsia="Arial Unicode MS" w:cs="Times New Roman" w:ascii="Times New Roman" w:hAnsi="Times New Roman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  <w:lang w:val="ru-RU" w:eastAsia="en-US" w:bidi="ar-SA"/>
              </w:rPr>
              <w:t xml:space="preserve"> </w:t>
            </w:r>
            <w:r>
              <w:rPr>
                <w:rStyle w:val="FontStyle19"/>
                <w:rFonts w:eastAsia="Arial Unicode MS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  <w:lang w:val="ru-RU" w:eastAsia="ar-SA" w:bidi="ar-SA"/>
              </w:rPr>
              <w:t>689100, Чукотский автономный округ, пос. Беринговский, ул. Строительная, 1б.</w:t>
            </w:r>
          </w:p>
        </w:tc>
      </w:tr>
    </w:tbl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2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bookmarkStart w:id="20" w:name="_Toc222021414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20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(для физического лица)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 xml:space="preserve"> 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 в лице 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Сообщаю о себе: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Адрес места регистрации: 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Паспорт___________________________________________________________________________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 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eastAsia="Times New Roman" w:cs="Times New Roman" w:ascii="Courier New" w:hAnsi="Courier New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                ____________________________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  <w:tab/>
        <w:t xml:space="preserve">   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3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для юридического лица</w:t>
      </w:r>
    </w:p>
    <w:p>
      <w:pPr>
        <w:pStyle w:val="Normal"/>
        <w:widowControl w:val="false"/>
        <w:spacing w:lineRule="auto" w:line="240" w:before="60" w:after="0"/>
        <w:contextualSpacing/>
        <w:jc w:val="center"/>
        <w:textAlignment w:val="baseline"/>
        <w:rPr>
          <w:rFonts w:ascii="Times New Roman" w:hAnsi="Times New Roman" w:eastAsia="Times New Roman" w:cs="Times New Roman"/>
          <w:sz w:val="24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ru-RU"/>
        </w:rPr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__________________________________________________________________________________,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организации)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Сообщаем о себе следующее: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Наименование организации:  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Местонахождение: 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Телефон:___________________________________________________________________________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Факс:______________________________________________________________________________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адрес:__________________________________________________________________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Организационно - правовая форма: 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КПП______________________________________________________________________________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ОГРН_____________________________________________________________________________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Банковские реквизиты: 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БИК______________________________________________________________________________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Руководитель                ________________________                ____________________________</w:t>
      </w:r>
    </w:p>
    <w:p>
      <w:pPr>
        <w:pStyle w:val="Normal"/>
        <w:widowControl w:val="false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/>
      </w:r>
    </w:p>
    <w:sectPr>
      <w:type w:val="nextPage"/>
      <w:pgSz w:w="11906" w:h="16838"/>
      <w:pgMar w:left="1134" w:right="624" w:header="0" w:top="624" w:footer="0" w:bottom="62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  <w:font w:name="Arial Unicode MS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Times New Roman CYR">
    <w:charset w:val="01"/>
    <w:family w:val="roman"/>
    <w:pitch w:val="default"/>
  </w:font>
  <w:font w:name="Verdana">
    <w:charset w:val="01"/>
    <w:family w:val="roman"/>
    <w:pitch w:val="default"/>
  </w:font>
  <w:font w:name="TimesNewRomanPSMT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5">
    <w:name w:val="Heading 5"/>
    <w:basedOn w:val="Normal"/>
    <w:link w:val="50"/>
    <w:qFormat/>
    <w:rsid w:val="00ca4d4e"/>
    <w:pPr>
      <w:keepNext w:val="true"/>
      <w:spacing w:lineRule="auto" w:line="240" w:before="0" w:after="0"/>
      <w:ind w:left="1531" w:hanging="0"/>
      <w:jc w:val="center"/>
      <w:outlineLvl w:val="4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51" w:customStyle="1">
    <w:name w:val="Заголовок 5 Знак"/>
    <w:basedOn w:val="DefaultParagraphFont"/>
    <w:link w:val="5"/>
    <w:qFormat/>
    <w:rsid w:val="00ca4d4e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3" w:customStyle="1">
    <w:name w:val="Основной текст Знак"/>
    <w:basedOn w:val="DefaultParagraphFont"/>
    <w:qFormat/>
    <w:rsid w:val="003d1a4a"/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e53d3a"/>
    <w:rPr>
      <w:rFonts w:ascii="Courier New" w:hAnsi="Courier New" w:eastAsia="Times New Roman" w:cs="Courier New"/>
      <w:sz w:val="20"/>
      <w:szCs w:val="20"/>
      <w:lang w:eastAsia="ru-RU"/>
    </w:rPr>
  </w:style>
  <w:style w:type="character" w:styleId="2" w:customStyle="1">
    <w:name w:val="Основной текст 2 Знак"/>
    <w:basedOn w:val="DefaultParagraphFont"/>
    <w:link w:val="2"/>
    <w:uiPriority w:val="99"/>
    <w:semiHidden/>
    <w:qFormat/>
    <w:rsid w:val="00d36797"/>
    <w:rPr/>
  </w:style>
  <w:style w:type="character" w:styleId="ConsPlusNormal" w:customStyle="1">
    <w:name w:val="ConsPlusNormal Знак"/>
    <w:link w:val="ConsPlusNormal"/>
    <w:qFormat/>
    <w:locked/>
    <w:rsid w:val="00d36797"/>
    <w:rPr>
      <w:rFonts w:ascii="Arial" w:hAnsi="Arial" w:eastAsia="Times New Roman" w:cs="Arial"/>
      <w:sz w:val="20"/>
      <w:szCs w:val="20"/>
      <w:lang w:eastAsia="ru-RU"/>
    </w:rPr>
  </w:style>
  <w:style w:type="character" w:styleId="Style14" w:customStyle="1">
    <w:name w:val="Интернет-ссылка"/>
    <w:basedOn w:val="DefaultParagraphFont"/>
    <w:uiPriority w:val="99"/>
    <w:unhideWhenUsed/>
    <w:rsid w:val="00ca4d4e"/>
    <w:rPr>
      <w:color w:val="0000FF" w:themeColor="hyperlink"/>
      <w:u w:val="single"/>
    </w:rPr>
  </w:style>
  <w:style w:type="character" w:styleId="1" w:customStyle="1">
    <w:name w:val="Верхний колонтитул Знак1"/>
    <w:basedOn w:val="DefaultParagraphFont"/>
    <w:link w:val="a4"/>
    <w:uiPriority w:val="99"/>
    <w:qFormat/>
    <w:rsid w:val="00ca4d4e"/>
    <w:rPr/>
  </w:style>
  <w:style w:type="character" w:styleId="Style15" w:customStyle="1">
    <w:name w:val="Верхний колонтитул Знак"/>
    <w:basedOn w:val="DefaultParagraphFont"/>
    <w:link w:val="1"/>
    <w:qFormat/>
    <w:rsid w:val="00ca4d4e"/>
    <w:rPr/>
  </w:style>
  <w:style w:type="character" w:styleId="Style16" w:customStyle="1">
    <w:name w:val="Нижний колонтитул Знак"/>
    <w:basedOn w:val="DefaultParagraphFont"/>
    <w:uiPriority w:val="99"/>
    <w:qFormat/>
    <w:rsid w:val="00ca4d4e"/>
    <w:rPr/>
  </w:style>
  <w:style w:type="character" w:styleId="Style17" w:customStyle="1">
    <w:name w:val="Текст выноски Знак"/>
    <w:basedOn w:val="DefaultParagraphFont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styleId="Style18" w:customStyle="1">
    <w:name w:val="Текст сноски Знак"/>
    <w:basedOn w:val="DefaultParagraphFont"/>
    <w:uiPriority w:val="99"/>
    <w:semiHidden/>
    <w:qFormat/>
    <w:rsid w:val="00ca4d4e"/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character" w:styleId="Style19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Style20">
    <w:name w:val="Посещённая гиперссылка"/>
    <w:basedOn w:val="DefaultParagraphFont"/>
    <w:uiPriority w:val="99"/>
    <w:semiHidden/>
    <w:unhideWhenUsed/>
    <w:qFormat/>
    <w:rsid w:val="005300be"/>
    <w:rPr>
      <w:color w:val="800080"/>
      <w:u w:val="single"/>
    </w:rPr>
  </w:style>
  <w:style w:type="character" w:styleId="FontStyle19">
    <w:name w:val="Font Style19"/>
    <w:basedOn w:val="DefaultParagraphFont"/>
    <w:qFormat/>
    <w:rPr>
      <w:rFonts w:ascii="Times New Roman" w:hAnsi="Times New Roman" w:cs="Times New Roman"/>
      <w:b/>
      <w:bCs/>
      <w:sz w:val="22"/>
      <w:szCs w:val="22"/>
    </w:rPr>
  </w:style>
  <w:style w:type="paragraph" w:styleId="Style21" w:customStyle="1">
    <w:name w:val="Заголовок"/>
    <w:basedOn w:val="Normal"/>
    <w:next w:val="Style22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2">
    <w:name w:val="Body Text"/>
    <w:basedOn w:val="Normal"/>
    <w:rsid w:val="003d1a4a"/>
    <w:pPr>
      <w:spacing w:lineRule="auto" w:line="240" w:before="0" w:after="0"/>
      <w:jc w:val="both"/>
    </w:pPr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paragraph" w:styleId="Style23">
    <w:name w:val="List"/>
    <w:basedOn w:val="Style22"/>
    <w:pPr/>
    <w:rPr>
      <w:rFonts w:cs="Noto Sans Devanagari"/>
    </w:rPr>
  </w:style>
  <w:style w:type="paragraph" w:styleId="Style24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5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uiPriority w:val="34"/>
    <w:qFormat/>
    <w:rsid w:val="007d6505"/>
    <w:pPr>
      <w:spacing w:before="0" w:after="200"/>
      <w:ind w:left="720" w:hanging="0"/>
      <w:contextualSpacing/>
    </w:pPr>
    <w:rPr/>
  </w:style>
  <w:style w:type="paragraph" w:styleId="HTMLPreformatted">
    <w:name w:val="HTML Preformatted"/>
    <w:basedOn w:val="Normal"/>
    <w:uiPriority w:val="99"/>
    <w:unhideWhenUsed/>
    <w:qFormat/>
    <w:rsid w:val="00e53d3a"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before="0" w:after="0"/>
    </w:pPr>
    <w:rPr>
      <w:rFonts w:ascii="Courier New" w:hAnsi="Courier New" w:eastAsia="Times New Roman" w:cs="Courier New"/>
      <w:sz w:val="20"/>
      <w:szCs w:val="20"/>
      <w:lang w:eastAsia="ru-RU"/>
    </w:rPr>
  </w:style>
  <w:style w:type="paragraph" w:styleId="BodyText2">
    <w:name w:val="Body Text 2"/>
    <w:basedOn w:val="Normal"/>
    <w:uiPriority w:val="99"/>
    <w:semiHidden/>
    <w:unhideWhenUsed/>
    <w:qFormat/>
    <w:rsid w:val="00d36797"/>
    <w:pPr>
      <w:spacing w:lineRule="auto" w:line="480" w:before="0" w:after="120"/>
    </w:pPr>
    <w:rPr/>
  </w:style>
  <w:style w:type="paragraph" w:styleId="ConsPlusNormal1" w:customStyle="1">
    <w:name w:val="ConsPlusNormal"/>
    <w:qFormat/>
    <w:rsid w:val="00d36797"/>
    <w:pPr>
      <w:widowControl w:val="false"/>
      <w:suppressAutoHyphens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auto"/>
      <w:kern w:val="0"/>
      <w:sz w:val="22"/>
      <w:szCs w:val="20"/>
      <w:lang w:val="ru-RU" w:eastAsia="ru-RU" w:bidi="ar-SA"/>
    </w:rPr>
  </w:style>
  <w:style w:type="paragraph" w:styleId="NoSpacing">
    <w:name w:val="No Spacing"/>
    <w:uiPriority w:val="1"/>
    <w:qFormat/>
    <w:rsid w:val="00ca4d4e"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1" w:customStyle="1">
    <w:name w:val="Верхний колонтитул1"/>
    <w:basedOn w:val="Normal"/>
    <w:unhideWhenUsed/>
    <w:qFormat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6">
    <w:name w:val="Верхний и нижний колонтитулы"/>
    <w:basedOn w:val="Normal"/>
    <w:qFormat/>
    <w:pPr/>
    <w:rPr/>
  </w:style>
  <w:style w:type="paragraph" w:styleId="Style27">
    <w:name w:val="Head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8">
    <w:name w:val="Foot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uiPriority w:val="99"/>
    <w:semiHidden/>
    <w:unhideWhenUsed/>
    <w:qFormat/>
    <w:rsid w:val="00ca4d4e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9">
    <w:name w:val="Footnote Text"/>
    <w:basedOn w:val="Normal"/>
    <w:uiPriority w:val="99"/>
    <w:semiHidden/>
    <w:unhideWhenUsed/>
    <w:rsid w:val="00ca4d4e"/>
    <w:pPr>
      <w:spacing w:lineRule="auto" w:line="240" w:before="0" w:after="0"/>
    </w:pPr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paragraph" w:styleId="Xl63" w:customStyle="1">
    <w:name w:val="xl63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Xl64" w:customStyle="1">
    <w:name w:val="xl64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5" w:customStyle="1">
    <w:name w:val="xl65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6" w:customStyle="1">
    <w:name w:val="xl66"/>
    <w:basedOn w:val="Normal"/>
    <w:qFormat/>
    <w:rsid w:val="00ca4d4e"/>
    <w:pP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7" w:customStyle="1">
    <w:name w:val="xl67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8" w:customStyle="1">
    <w:name w:val="xl68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9" w:customStyle="1">
    <w:name w:val="xl6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0" w:customStyle="1">
    <w:name w:val="xl7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1" w:customStyle="1">
    <w:name w:val="xl71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2" w:customStyle="1">
    <w:name w:val="xl72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3" w:customStyle="1">
    <w:name w:val="xl7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4" w:customStyle="1">
    <w:name w:val="xl7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5" w:customStyle="1">
    <w:name w:val="xl7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6" w:customStyle="1">
    <w:name w:val="xl7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7" w:customStyle="1">
    <w:name w:val="xl77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8" w:customStyle="1">
    <w:name w:val="xl7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9" w:customStyle="1">
    <w:name w:val="xl7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0" w:customStyle="1">
    <w:name w:val="xl8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1" w:customStyle="1">
    <w:name w:val="xl8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2" w:customStyle="1">
    <w:name w:val="xl8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3" w:customStyle="1">
    <w:name w:val="xl8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4" w:customStyle="1">
    <w:name w:val="xl84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5" w:customStyle="1">
    <w:name w:val="xl8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6" w:customStyle="1">
    <w:name w:val="xl8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7" w:customStyle="1">
    <w:name w:val="xl8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8" w:customStyle="1">
    <w:name w:val="xl8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9" w:customStyle="1">
    <w:name w:val="xl89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0" w:customStyle="1">
    <w:name w:val="xl90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1" w:customStyle="1">
    <w:name w:val="xl9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2" w:customStyle="1">
    <w:name w:val="xl9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3" w:customStyle="1">
    <w:name w:val="xl93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4" w:customStyle="1">
    <w:name w:val="xl94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5" w:customStyle="1">
    <w:name w:val="xl9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6" w:customStyle="1">
    <w:name w:val="xl96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7" w:customStyle="1">
    <w:name w:val="xl97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8" w:customStyle="1">
    <w:name w:val="xl98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9" w:customStyle="1">
    <w:name w:val="xl99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0" w:customStyle="1">
    <w:name w:val="xl100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1" w:customStyle="1">
    <w:name w:val="xl10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2" w:customStyle="1">
    <w:name w:val="xl10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3" w:customStyle="1">
    <w:name w:val="xl103"/>
    <w:basedOn w:val="Normal"/>
    <w:qFormat/>
    <w:rsid w:val="00ca4d4e"/>
    <w:pPr>
      <w:pBdr>
        <w:top w:val="single" w:sz="4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4" w:customStyle="1">
    <w:name w:val="xl104"/>
    <w:basedOn w:val="Normal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5" w:customStyle="1">
    <w:name w:val="xl10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6" w:customStyle="1">
    <w:name w:val="xl106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7" w:customStyle="1">
    <w:name w:val="xl10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8" w:customStyle="1">
    <w:name w:val="xl10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9" w:customStyle="1">
    <w:name w:val="xl109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0" w:customStyle="1">
    <w:name w:val="xl110"/>
    <w:basedOn w:val="Normal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1" w:customStyle="1">
    <w:name w:val="xl111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2" w:customStyle="1">
    <w:name w:val="xl112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3" w:customStyle="1">
    <w:name w:val="xl113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4" w:customStyle="1">
    <w:name w:val="xl114"/>
    <w:basedOn w:val="Normal"/>
    <w:qFormat/>
    <w:rsid w:val="00ca4d4e"/>
    <w:pPr>
      <w:pBdr>
        <w:top w:val="single" w:sz="8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5" w:customStyle="1">
    <w:name w:val="xl11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6" w:customStyle="1">
    <w:name w:val="xl11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7" w:customStyle="1">
    <w:name w:val="xl11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8" w:customStyle="1">
    <w:name w:val="xl11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9" w:customStyle="1">
    <w:name w:val="xl119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0" w:customStyle="1">
    <w:name w:val="xl120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1" w:customStyle="1">
    <w:name w:val="xl12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2" w:customStyle="1">
    <w:name w:val="xl12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3" w:customStyle="1">
    <w:name w:val="xl12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4" w:customStyle="1">
    <w:name w:val="xl12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5" w:customStyle="1">
    <w:name w:val="xl12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6" w:customStyle="1">
    <w:name w:val="xl12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7" w:customStyle="1">
    <w:name w:val="xl127"/>
    <w:basedOn w:val="Normal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8" w:customStyle="1">
    <w:name w:val="xl128"/>
    <w:basedOn w:val="Normal"/>
    <w:qFormat/>
    <w:rsid w:val="00ca4d4e"/>
    <w:pPr>
      <w:pBdr>
        <w:top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9" w:customStyle="1">
    <w:name w:val="xl129"/>
    <w:basedOn w:val="Normal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0" w:customStyle="1">
    <w:name w:val="xl130"/>
    <w:basedOn w:val="Normal"/>
    <w:qFormat/>
    <w:rsid w:val="00ca4d4e"/>
    <w:pPr>
      <w:pBdr>
        <w:top w:val="single" w:sz="4" w:space="0" w:color="000000"/>
        <w:lef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1" w:customStyle="1">
    <w:name w:val="xl131"/>
    <w:basedOn w:val="Normal"/>
    <w:qFormat/>
    <w:rsid w:val="00ca4d4e"/>
    <w:pPr>
      <w:pBdr>
        <w:top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2" w:customStyle="1">
    <w:name w:val="xl132"/>
    <w:basedOn w:val="Normal"/>
    <w:qFormat/>
    <w:rsid w:val="00ca4d4e"/>
    <w:pPr>
      <w:pBdr>
        <w:top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3" w:customStyle="1">
    <w:name w:val="xl133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Style30" w:customStyle="1">
    <w:name w:val="Содержимое таблицы"/>
    <w:basedOn w:val="Normal"/>
    <w:qFormat/>
    <w:pPr>
      <w:suppressLineNumbers/>
    </w:pPr>
    <w:rPr/>
  </w:style>
  <w:style w:type="paragraph" w:styleId="Style31" w:customStyle="1">
    <w:name w:val="Заголовок таблицы"/>
    <w:basedOn w:val="Style30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7">
    <w:name w:val="Table Grid"/>
    <w:basedOn w:val="a1"/>
    <w:uiPriority w:val="59"/>
    <w:rsid w:val="007d6505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Сетка таблицы1"/>
    <w:basedOn w:val="a1"/>
    <w:uiPriority w:val="59"/>
    <w:rsid w:val="005300be"/>
    <w:rPr>
      <w:lang w:eastAsia="ru-RU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ivo.garant.ru/document?id=12025505&amp;sub=159" TargetMode="External"/><Relationship Id="rId3" Type="http://schemas.openxmlformats.org/officeDocument/2006/relationships/hyperlink" Target="https://www.roseltorg.ru/" TargetMode="External"/><Relationship Id="rId4" Type="http://schemas.openxmlformats.org/officeDocument/2006/relationships/hyperlink" Target="https://www.roseltorg.ru/" TargetMode="External"/><Relationship Id="rId5" Type="http://schemas.openxmlformats.org/officeDocument/2006/relationships/hyperlink" Target="consultantplus://offline/ref=8608A915A77589369BD2B7F347595D5ABC538B22E06FA735FD52FF4C23570EP" TargetMode="External"/><Relationship Id="rId6" Type="http://schemas.openxmlformats.org/officeDocument/2006/relationships/hyperlink" Target="consultantplus://offline/ref=8886142B30A1ED25946F3605BFB8077666AA29F7575C6D2C2FD59D8142AD0511DD20E07C6D1DA4B9D5ZBG" TargetMode="External"/><Relationship Id="rId7" Type="http://schemas.openxmlformats.org/officeDocument/2006/relationships/hyperlink" Target="http://www.torgi.gov.ru/" TargetMode="External"/><Relationship Id="rId8" Type="http://schemas.openxmlformats.org/officeDocument/2006/relationships/hyperlink" Target="http://www.roseltorg.ru/" TargetMode="Externa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Application>LibreOffice/6.4.7.2$Linux_X86_64 LibreOffice_project/72d9d5113b23a0ed474720f9d366fcde9a2744dd</Application>
  <Pages>11</Pages>
  <Words>2351</Words>
  <Characters>18243</Characters>
  <CharactersWithSpaces>20776</CharactersWithSpaces>
  <Paragraphs>189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2020-10-24T03:17:00Z</dcterms:created>
  <dc:creator>Лукьянов Алексей Анатольевич</dc:creator>
  <dc:description/>
  <dc:language>ru-RU</dc:language>
  <cp:lastModifiedBy/>
  <cp:lastPrinted>2022-02-21T11:34:17Z</cp:lastPrinted>
  <dcterms:modified xsi:type="dcterms:W3CDTF">2022-10-07T11:08:29Z</dcterms:modified>
  <cp:revision>15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